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6503B" w14:textId="2D4ABBEB" w:rsidR="00D32657" w:rsidRPr="00A8490A" w:rsidRDefault="00E728EC" w:rsidP="00D32657">
      <w:pPr>
        <w:spacing w:after="0" w:line="240" w:lineRule="auto"/>
        <w:rPr>
          <w:rFonts w:asciiTheme="majorHAnsi" w:eastAsiaTheme="majorEastAsia" w:hAnsiTheme="majorHAnsi" w:cstheme="majorBidi"/>
          <w:b/>
          <w:color w:val="17428C" w:themeColor="accent1"/>
          <w:sz w:val="10"/>
          <w:szCs w:val="10"/>
          <w14:textFill>
            <w14:gradFill>
              <w14:gsLst>
                <w14:gs w14:pos="0">
                  <w14:schemeClr w14:val="accent5"/>
                </w14:gs>
                <w14:gs w14:pos="100000">
                  <w14:schemeClr w14:val="accent1"/>
                </w14:gs>
              </w14:gsLst>
              <w14:lin w14:ang="0" w14:scaled="0"/>
            </w14:gradFill>
          </w14:textFill>
        </w:rPr>
      </w:pPr>
      <w:r w:rsidRPr="00E728EC">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Saint-Gobain, globalde 11’inc</w:t>
      </w:r>
      <w:r>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İ</w:t>
      </w:r>
      <w:r w:rsidRPr="00E728EC">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 Türk</w:t>
      </w:r>
      <w:r>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İ</w:t>
      </w:r>
      <w:r w:rsidRPr="00E728EC">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ye’de üst üste 9’uncu kez “En İy</w:t>
      </w:r>
      <w:r>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İ</w:t>
      </w:r>
      <w:r w:rsidRPr="00E728EC">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 xml:space="preserve"> İşveren” seç</w:t>
      </w:r>
      <w:r>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İ</w:t>
      </w:r>
      <w:r w:rsidRPr="00E728EC">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ld</w:t>
      </w:r>
      <w:r>
        <w:rPr>
          <w:rFonts w:asciiTheme="majorHAnsi" w:eastAsiaTheme="majorEastAsia" w:hAnsiTheme="majorHAnsi" w:cs="Arial (Headings)"/>
          <w:b/>
          <w:caps/>
          <w:color w:val="219CDC" w:themeColor="accent5"/>
          <w:sz w:val="36"/>
          <w:szCs w:val="38"/>
          <w14:textFill>
            <w14:gradFill>
              <w14:gsLst>
                <w14:gs w14:pos="50000">
                  <w14:schemeClr w14:val="accent5"/>
                </w14:gs>
                <w14:gs w14:pos="0">
                  <w14:schemeClr w14:val="accent1"/>
                </w14:gs>
                <w14:gs w14:pos="100000">
                  <w14:schemeClr w14:val="accent4"/>
                </w14:gs>
              </w14:gsLst>
              <w14:lin w14:ang="0" w14:scaled="0"/>
            </w14:gradFill>
          </w14:textFill>
        </w:rPr>
        <w:t>İ</w:t>
      </w:r>
    </w:p>
    <w:p w14:paraId="34D0C4F2" w14:textId="721E516F" w:rsidR="00D32657" w:rsidRPr="00A8490A" w:rsidRDefault="00713812" w:rsidP="00D32657">
      <w:pPr>
        <w:spacing w:after="0" w:line="240" w:lineRule="auto"/>
        <w:ind w:left="4253"/>
        <w:rPr>
          <w:b/>
          <w:bCs/>
          <w:color w:val="219CDC" w:themeColor="accent5"/>
          <w:spacing w:val="10"/>
          <w:sz w:val="32"/>
          <w:szCs w:val="32"/>
          <w14:textFill>
            <w14:gradFill>
              <w14:gsLst>
                <w14:gs w14:pos="54000">
                  <w14:schemeClr w14:val="accent5"/>
                </w14:gs>
                <w14:gs w14:pos="0">
                  <w14:schemeClr w14:val="accent1"/>
                </w14:gs>
                <w14:gs w14:pos="100000">
                  <w14:schemeClr w14:val="accent4"/>
                </w14:gs>
              </w14:gsLst>
              <w14:lin w14:ang="0" w14:scaled="0"/>
            </w14:gradFill>
          </w14:textFill>
        </w:rPr>
      </w:pPr>
      <w:r>
        <w:rPr>
          <w:noProof/>
        </w:rPr>
        <w:drawing>
          <wp:anchor distT="0" distB="0" distL="114300" distR="114300" simplePos="0" relativeHeight="251661312" behindDoc="0" locked="0" layoutInCell="1" allowOverlap="1" wp14:anchorId="20FF6504" wp14:editId="418D9636">
            <wp:simplePos x="0" y="0"/>
            <wp:positionH relativeFrom="column">
              <wp:posOffset>22860</wp:posOffset>
            </wp:positionH>
            <wp:positionV relativeFrom="paragraph">
              <wp:posOffset>243840</wp:posOffset>
            </wp:positionV>
            <wp:extent cx="1822450" cy="842645"/>
            <wp:effectExtent l="0" t="0" r="6350" b="0"/>
            <wp:wrapThrough wrapText="bothSides">
              <wp:wrapPolygon edited="0">
                <wp:start x="0" y="0"/>
                <wp:lineTo x="0" y="20998"/>
                <wp:lineTo x="21449" y="20998"/>
                <wp:lineTo x="21449" y="0"/>
                <wp:lineTo x="0" y="0"/>
              </wp:wrapPolygon>
            </wp:wrapThrough>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22450" cy="842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26BC">
        <w:rPr>
          <w:noProof/>
        </w:rPr>
        <w:t xml:space="preserve">                                                                                                                                          </w:t>
      </w:r>
    </w:p>
    <w:p w14:paraId="50A4A5A9" w14:textId="0FD9AC72" w:rsidR="00FF706D" w:rsidRDefault="002A26BC" w:rsidP="004E2481">
      <w:pPr>
        <w:spacing w:after="0" w:line="240" w:lineRule="auto"/>
        <w:jc w:val="both"/>
        <w:rPr>
          <w:rFonts w:asciiTheme="majorHAnsi" w:eastAsiaTheme="majorEastAsia" w:hAnsiTheme="majorHAnsi" w:cstheme="majorBidi"/>
          <w:b/>
          <w:bCs/>
          <w:color w:val="17428C" w:themeColor="accent1"/>
          <w:szCs w:val="26"/>
        </w:rPr>
      </w:pPr>
      <w:bookmarkStart w:id="0" w:name="_Hlk219313659"/>
      <w:r>
        <w:rPr>
          <w:rFonts w:asciiTheme="majorHAnsi" w:eastAsiaTheme="majorEastAsia" w:hAnsiTheme="majorHAnsi" w:cstheme="majorBidi"/>
          <w:b/>
          <w:bCs/>
          <w:color w:val="17428C" w:themeColor="accent1"/>
          <w:szCs w:val="26"/>
        </w:rPr>
        <w:t xml:space="preserve">                                                         </w:t>
      </w:r>
      <w:r w:rsidRPr="002A26BC">
        <w:rPr>
          <w:rFonts w:asciiTheme="majorHAnsi" w:eastAsiaTheme="majorEastAsia" w:hAnsiTheme="majorHAnsi" w:cstheme="majorBidi"/>
          <w:b/>
          <w:bCs/>
          <w:noProof/>
          <w:color w:val="17428C" w:themeColor="accent1"/>
          <w:szCs w:val="26"/>
          <w:lang w:val="tr-TR"/>
        </w:rPr>
        <w:drawing>
          <wp:inline distT="0" distB="0" distL="0" distR="0" wp14:anchorId="17C9EE42" wp14:editId="510AB23C">
            <wp:extent cx="1798983" cy="830154"/>
            <wp:effectExtent l="0" t="0" r="0" b="8255"/>
            <wp:docPr id="1895772228" name="Resim 5" descr="metin, yazı tipi, simge, sembol, logo içeren bir resim&#10;&#10;Yapay zeka tarafından oluşturulmuş içerik yanlış olabi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772228" name="Resim 5" descr="metin, yazı tipi, simge, sembol, logo içeren bir resim&#10;&#10;Yapay zeka tarafından oluşturulmuş içerik yanlış olabili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9431" cy="834975"/>
                    </a:xfrm>
                    <a:prstGeom prst="rect">
                      <a:avLst/>
                    </a:prstGeom>
                    <a:noFill/>
                    <a:ln>
                      <a:noFill/>
                    </a:ln>
                  </pic:spPr>
                </pic:pic>
              </a:graphicData>
            </a:graphic>
          </wp:inline>
        </w:drawing>
      </w:r>
    </w:p>
    <w:p w14:paraId="23BAA466" w14:textId="77777777" w:rsidR="00C61DEE" w:rsidRDefault="00C61DEE" w:rsidP="00D32657">
      <w:pPr>
        <w:jc w:val="both"/>
        <w:rPr>
          <w:rFonts w:asciiTheme="majorHAnsi" w:eastAsiaTheme="majorEastAsia" w:hAnsiTheme="majorHAnsi" w:cstheme="majorBidi"/>
          <w:b/>
          <w:bCs/>
          <w:color w:val="17428C" w:themeColor="accent1"/>
          <w:szCs w:val="26"/>
        </w:rPr>
      </w:pPr>
    </w:p>
    <w:bookmarkEnd w:id="0"/>
    <w:p w14:paraId="366A9A33" w14:textId="1F163592" w:rsidR="00B457FB" w:rsidRPr="00B457FB" w:rsidRDefault="00B457FB" w:rsidP="004E2481">
      <w:pPr>
        <w:pStyle w:val="Heading2"/>
        <w:spacing w:line="240" w:lineRule="auto"/>
        <w:rPr>
          <w:rFonts w:asciiTheme="minorHAnsi" w:hAnsiTheme="minorHAnsi" w:cstheme="minorHAnsi"/>
          <w:b/>
          <w:bCs/>
          <w:sz w:val="24"/>
          <w:szCs w:val="24"/>
        </w:rPr>
      </w:pPr>
      <w:r w:rsidRPr="00B457FB">
        <w:rPr>
          <w:rFonts w:asciiTheme="minorHAnsi" w:hAnsiTheme="minorHAnsi" w:cstheme="minorHAnsi"/>
          <w:b/>
          <w:bCs/>
          <w:sz w:val="24"/>
          <w:szCs w:val="24"/>
        </w:rPr>
        <w:t>Sürdürülebilir ve hafif inşaat çözümlerinde dünya lideri olan  Saint-Gobain, insanı merkeze alan kurum kültürü ve güçlü insan kaynakları uygulamalarıyla 2026 yılında üst üste 11’inci kez “Global En İyi İşveren” unvanının sahibi oldu. Saint- Gobain Türkiye ise Top Employers Institute tarafından verilen “En İyi İşveren” (Top Employer) sertifikasını üst üste 9’uncu kez alarak bu alandaki istikrarlı performansını bir kez daha ortaya koydu.</w:t>
      </w:r>
    </w:p>
    <w:p w14:paraId="4FFEB3CF" w14:textId="77777777" w:rsidR="00B457FB" w:rsidRDefault="00B457FB" w:rsidP="004E2481">
      <w:pPr>
        <w:pStyle w:val="Heading2"/>
        <w:spacing w:line="240" w:lineRule="auto"/>
        <w:rPr>
          <w:szCs w:val="22"/>
        </w:rPr>
      </w:pPr>
    </w:p>
    <w:p w14:paraId="71CAA802" w14:textId="77777777" w:rsidR="00B457FB" w:rsidRDefault="00B457FB" w:rsidP="004E2481">
      <w:pPr>
        <w:pStyle w:val="Heading2"/>
        <w:spacing w:line="240" w:lineRule="auto"/>
        <w:rPr>
          <w:szCs w:val="22"/>
        </w:rPr>
      </w:pPr>
    </w:p>
    <w:p w14:paraId="2B981604" w14:textId="3864101B" w:rsidR="008E0B6A" w:rsidRPr="002A26BC" w:rsidRDefault="00C156C1" w:rsidP="004E2481">
      <w:pPr>
        <w:pStyle w:val="Heading2"/>
        <w:spacing w:line="240" w:lineRule="auto"/>
        <w:rPr>
          <w:sz w:val="24"/>
          <w:szCs w:val="24"/>
        </w:rPr>
      </w:pPr>
      <w:r w:rsidRPr="002A26BC">
        <w:rPr>
          <w:sz w:val="24"/>
          <w:szCs w:val="24"/>
        </w:rPr>
        <w:t xml:space="preserve">Saint-Gobain, 40 ülkede hayata geçirdiği insan odaklı kurum kültürü ve bütüncül insan kaynakları uygulamaları sayesinde üst üste on birinci kez “Top Employer Global” sertifikasına layık görüldü. Bu başarıyla birlikte grup, dünya genelinde bu sertifikayı almaya hak kazanan yalnızca 16 şirket arasında yer alma ayrıcalığını sürdürdü. </w:t>
      </w:r>
    </w:p>
    <w:p w14:paraId="5655EE3A" w14:textId="77777777" w:rsidR="008E0B6A" w:rsidRPr="002A26BC" w:rsidRDefault="008E0B6A" w:rsidP="004E2481">
      <w:pPr>
        <w:pStyle w:val="Heading2"/>
        <w:spacing w:line="240" w:lineRule="auto"/>
        <w:rPr>
          <w:sz w:val="24"/>
          <w:szCs w:val="24"/>
        </w:rPr>
      </w:pPr>
    </w:p>
    <w:p w14:paraId="3A810321" w14:textId="04915426" w:rsidR="00C156C1" w:rsidRPr="002A26BC" w:rsidRDefault="00C156C1" w:rsidP="004E2481">
      <w:pPr>
        <w:pStyle w:val="Heading2"/>
        <w:spacing w:line="240" w:lineRule="auto"/>
        <w:rPr>
          <w:sz w:val="24"/>
          <w:szCs w:val="24"/>
        </w:rPr>
      </w:pPr>
      <w:r w:rsidRPr="002A26BC">
        <w:rPr>
          <w:sz w:val="24"/>
          <w:szCs w:val="24"/>
        </w:rPr>
        <w:t>Küresel ölçekte belirlenen insan kaynakları politikalarını yerel düzeyde başarıyla uygulayan Saint-Gobain Türkiye de üst üste 9’uncu kez Top Employers Institute tarafından verilen “En İyi İşveren” (Top Employer) ödülünün sahibi oldu.</w:t>
      </w:r>
    </w:p>
    <w:p w14:paraId="138368E8" w14:textId="77777777" w:rsidR="00E831A3" w:rsidRPr="002A26BC" w:rsidRDefault="00E831A3" w:rsidP="00E831A3">
      <w:pPr>
        <w:rPr>
          <w:sz w:val="24"/>
          <w:szCs w:val="24"/>
        </w:rPr>
      </w:pPr>
    </w:p>
    <w:p w14:paraId="0E92A70B" w14:textId="77777777" w:rsidR="00C156C1" w:rsidRPr="002A26BC" w:rsidRDefault="00C156C1" w:rsidP="004E2481">
      <w:pPr>
        <w:pStyle w:val="Heading2"/>
        <w:spacing w:line="240" w:lineRule="auto"/>
        <w:rPr>
          <w:sz w:val="24"/>
          <w:szCs w:val="24"/>
        </w:rPr>
      </w:pPr>
      <w:r w:rsidRPr="002A26BC">
        <w:rPr>
          <w:sz w:val="24"/>
          <w:szCs w:val="24"/>
        </w:rPr>
        <w:t>Etik değerlere dayalı, güven ortamını esas alan; yetkinlik gelişimini ve fırsat eşitliğini önceliklendiren çalışma kültürüyle Saint-Gobain, dünya genelindeki sosyal taahhütlerinin tutarlılığını ve derinliğini ortaya koyuyor. Bu yaklaşım, grubun referans bir işveren olma hedefini kararlılıkla sürdürdüğünü açık biçimde yansıtıyor.</w:t>
      </w:r>
    </w:p>
    <w:p w14:paraId="0D016A1A" w14:textId="77777777" w:rsidR="004E2481" w:rsidRPr="002A26BC" w:rsidRDefault="004E2481" w:rsidP="004E2481">
      <w:pPr>
        <w:spacing w:after="0" w:line="240" w:lineRule="auto"/>
        <w:jc w:val="both"/>
        <w:rPr>
          <w:sz w:val="24"/>
          <w:szCs w:val="24"/>
        </w:rPr>
      </w:pPr>
    </w:p>
    <w:p w14:paraId="0DD058E3" w14:textId="558FE999" w:rsidR="005908B8" w:rsidRPr="002A26BC" w:rsidRDefault="005908B8" w:rsidP="004E2481">
      <w:pPr>
        <w:spacing w:after="0" w:line="240" w:lineRule="auto"/>
        <w:jc w:val="both"/>
        <w:rPr>
          <w:rFonts w:asciiTheme="majorHAnsi" w:eastAsiaTheme="majorEastAsia" w:hAnsiTheme="majorHAnsi" w:cstheme="majorBidi"/>
          <w:b/>
          <w:bCs/>
          <w:color w:val="67B9B0" w:themeColor="accent4"/>
          <w:sz w:val="24"/>
          <w:szCs w:val="24"/>
        </w:rPr>
      </w:pPr>
      <w:r w:rsidRPr="002A26BC">
        <w:rPr>
          <w:rFonts w:asciiTheme="majorHAnsi" w:eastAsiaTheme="majorEastAsia" w:hAnsiTheme="majorHAnsi" w:cstheme="majorBidi"/>
          <w:b/>
          <w:bCs/>
          <w:color w:val="67B9B0" w:themeColor="accent4"/>
          <w:sz w:val="24"/>
          <w:szCs w:val="24"/>
        </w:rPr>
        <w:t>Öne çıkan değerlendirme kriterleri</w:t>
      </w:r>
    </w:p>
    <w:p w14:paraId="1C05BC0C" w14:textId="77777777" w:rsidR="004E2481" w:rsidRPr="002A26BC" w:rsidRDefault="004E2481" w:rsidP="004E2481">
      <w:pPr>
        <w:spacing w:after="0" w:line="240" w:lineRule="auto"/>
        <w:jc w:val="both"/>
        <w:rPr>
          <w:rFonts w:asciiTheme="majorHAnsi" w:eastAsiaTheme="majorEastAsia" w:hAnsiTheme="majorHAnsi" w:cstheme="majorBidi"/>
          <w:b/>
          <w:bCs/>
          <w:color w:val="67B9B0" w:themeColor="accent4"/>
          <w:sz w:val="24"/>
          <w:szCs w:val="24"/>
        </w:rPr>
      </w:pPr>
    </w:p>
    <w:p w14:paraId="6A8BCB40" w14:textId="77777777" w:rsidR="00B173D2" w:rsidRPr="002A26BC" w:rsidRDefault="00B173D2" w:rsidP="004E2481">
      <w:pPr>
        <w:spacing w:after="0" w:line="240" w:lineRule="auto"/>
        <w:jc w:val="both"/>
        <w:rPr>
          <w:rFonts w:asciiTheme="majorHAnsi" w:eastAsiaTheme="majorEastAsia" w:hAnsiTheme="majorHAnsi" w:cstheme="majorBidi"/>
          <w:color w:val="17428C" w:themeColor="accent1"/>
          <w:sz w:val="24"/>
          <w:szCs w:val="24"/>
        </w:rPr>
      </w:pPr>
      <w:r w:rsidRPr="002A26BC">
        <w:rPr>
          <w:rFonts w:asciiTheme="majorHAnsi" w:eastAsiaTheme="majorEastAsia" w:hAnsiTheme="majorHAnsi" w:cstheme="majorBidi"/>
          <w:color w:val="17428C" w:themeColor="accent1"/>
          <w:sz w:val="24"/>
          <w:szCs w:val="24"/>
        </w:rPr>
        <w:t>Top Employers Institute tarafından yürütülen değerlendirme süreci, Saint-Gobain Grubu’nun insan kaynakları uygulamalarında yüksek bir yetkinlik ve kurumsal olgunluk seviyesine ulaştığını ortaya koydu. Grup, uzun vadeli hedefleriyle uyumlu şekilde yapılandırdığı insan ve kültür politikaları sayesinde birçok başlıkta güçlü sonuçlar elde etti.</w:t>
      </w:r>
    </w:p>
    <w:p w14:paraId="3C7FAB2B" w14:textId="77777777" w:rsidR="00161B27" w:rsidRPr="002A26BC" w:rsidRDefault="00161B27" w:rsidP="004E2481">
      <w:pPr>
        <w:spacing w:after="0" w:line="240" w:lineRule="auto"/>
        <w:jc w:val="both"/>
        <w:rPr>
          <w:rFonts w:asciiTheme="majorHAnsi" w:eastAsiaTheme="majorEastAsia" w:hAnsiTheme="majorHAnsi" w:cstheme="majorBidi"/>
          <w:color w:val="17428C" w:themeColor="accent1"/>
          <w:sz w:val="24"/>
          <w:szCs w:val="24"/>
        </w:rPr>
      </w:pPr>
    </w:p>
    <w:p w14:paraId="10015542" w14:textId="77777777" w:rsidR="00B173D2" w:rsidRPr="002A26BC" w:rsidRDefault="00B173D2" w:rsidP="004E2481">
      <w:pPr>
        <w:spacing w:after="0" w:line="240" w:lineRule="auto"/>
        <w:jc w:val="both"/>
        <w:rPr>
          <w:rFonts w:asciiTheme="majorHAnsi" w:eastAsiaTheme="majorEastAsia" w:hAnsiTheme="majorHAnsi" w:cstheme="majorBidi"/>
          <w:color w:val="17428C" w:themeColor="accent1"/>
          <w:sz w:val="24"/>
          <w:szCs w:val="24"/>
        </w:rPr>
      </w:pPr>
      <w:r w:rsidRPr="002A26BC">
        <w:rPr>
          <w:rFonts w:asciiTheme="majorHAnsi" w:eastAsiaTheme="majorEastAsia" w:hAnsiTheme="majorHAnsi" w:cstheme="majorBidi"/>
          <w:color w:val="17428C" w:themeColor="accent1"/>
          <w:sz w:val="24"/>
          <w:szCs w:val="24"/>
        </w:rPr>
        <w:t xml:space="preserve">Etik ve Dürüstlük alanında kriterlerin yüzde 100’ünün karşılanması, Saint-Gobain’in “Davranış ve Eylem İlkeleri” ile tam uyumlu, şeffaf ve kurumsallaşmış bir etik yaklaşım benimsediğini gösterdi. Amaç ve Değerler başlığında yüzde 99,85 oranında başarıya ulaşan Saint- Gobain , “MAKING THE WORLD A BETTER HOME” varoluş amacı doğrultusunda güçlü ve ortak bir kurum kültürü oluşturduğunu ortaya koydu. Öğrenme alanında kriterlerin yüzde 97,32’sinin karşılanması ve yüzde 4,07’lik artış, Saint-Gobain’in çalışanlarının yetkinlik gelişimine ve kariyer yolculuklarına verdiği önemi bir kez daha teyit etti. Sürdürülebilirlik başlığında elde edilen yüzde 91,97’lik sonuç ve  yüzde 1,51’lik gelişim </w:t>
      </w:r>
      <w:r w:rsidRPr="002A26BC">
        <w:rPr>
          <w:rFonts w:asciiTheme="majorHAnsi" w:eastAsiaTheme="majorEastAsia" w:hAnsiTheme="majorHAnsi" w:cstheme="majorBidi"/>
          <w:color w:val="17428C" w:themeColor="accent1"/>
          <w:sz w:val="24"/>
          <w:szCs w:val="24"/>
        </w:rPr>
        <w:lastRenderedPageBreak/>
        <w:t>ise çevresel ve sosyal önceliklerin insan kaynakları ve yönetim uygulamalarına giderek daha güçlü biçimde entegre edildiğini gösterdi.</w:t>
      </w:r>
    </w:p>
    <w:p w14:paraId="3F0B970F" w14:textId="77777777" w:rsidR="004E2481" w:rsidRPr="002A26BC" w:rsidRDefault="004E2481" w:rsidP="004E2481">
      <w:pPr>
        <w:spacing w:after="0" w:line="240" w:lineRule="auto"/>
        <w:jc w:val="both"/>
        <w:rPr>
          <w:rFonts w:asciiTheme="majorHAnsi" w:eastAsiaTheme="majorEastAsia" w:hAnsiTheme="majorHAnsi" w:cstheme="majorBidi"/>
          <w:color w:val="17428C" w:themeColor="accent1"/>
          <w:sz w:val="24"/>
          <w:szCs w:val="24"/>
        </w:rPr>
      </w:pPr>
    </w:p>
    <w:p w14:paraId="1E3073E2" w14:textId="77777777" w:rsidR="00B173D2" w:rsidRPr="002A26BC" w:rsidRDefault="00B173D2" w:rsidP="004E2481">
      <w:pPr>
        <w:spacing w:after="0" w:line="240" w:lineRule="auto"/>
        <w:jc w:val="both"/>
        <w:rPr>
          <w:rFonts w:asciiTheme="majorHAnsi" w:eastAsiaTheme="majorEastAsia" w:hAnsiTheme="majorHAnsi" w:cstheme="majorBidi"/>
          <w:b/>
          <w:bCs/>
          <w:color w:val="67B9B0" w:themeColor="accent4"/>
          <w:sz w:val="24"/>
          <w:szCs w:val="24"/>
        </w:rPr>
      </w:pPr>
      <w:r w:rsidRPr="002A26BC">
        <w:rPr>
          <w:rFonts w:asciiTheme="majorHAnsi" w:eastAsiaTheme="majorEastAsia" w:hAnsiTheme="majorHAnsi" w:cstheme="majorBidi"/>
          <w:b/>
          <w:bCs/>
          <w:color w:val="67B9B0" w:themeColor="accent4"/>
          <w:sz w:val="24"/>
          <w:szCs w:val="24"/>
        </w:rPr>
        <w:t>Saint-Gobain Türkiye’den standartların üzerinde performans</w:t>
      </w:r>
    </w:p>
    <w:p w14:paraId="6723326E" w14:textId="77777777" w:rsidR="004E2481" w:rsidRPr="002A26BC" w:rsidRDefault="004E2481" w:rsidP="004E2481">
      <w:pPr>
        <w:spacing w:after="0" w:line="240" w:lineRule="auto"/>
        <w:jc w:val="both"/>
        <w:rPr>
          <w:rFonts w:asciiTheme="majorHAnsi" w:eastAsiaTheme="majorEastAsia" w:hAnsiTheme="majorHAnsi" w:cstheme="majorBidi"/>
          <w:b/>
          <w:bCs/>
          <w:color w:val="67B9B0" w:themeColor="accent4"/>
          <w:sz w:val="24"/>
          <w:szCs w:val="24"/>
        </w:rPr>
      </w:pPr>
    </w:p>
    <w:p w14:paraId="43DA73B4" w14:textId="79024E56" w:rsidR="00B173D2" w:rsidRPr="002A26BC" w:rsidRDefault="00B173D2" w:rsidP="004E2481">
      <w:pPr>
        <w:spacing w:after="0" w:line="240" w:lineRule="auto"/>
        <w:jc w:val="both"/>
        <w:rPr>
          <w:rFonts w:asciiTheme="majorHAnsi" w:eastAsiaTheme="majorEastAsia" w:hAnsiTheme="majorHAnsi" w:cstheme="majorBidi"/>
          <w:color w:val="17428C" w:themeColor="accent1"/>
          <w:sz w:val="24"/>
          <w:szCs w:val="24"/>
        </w:rPr>
      </w:pPr>
      <w:r w:rsidRPr="002A26BC">
        <w:rPr>
          <w:rFonts w:asciiTheme="majorHAnsi" w:eastAsiaTheme="majorEastAsia" w:hAnsiTheme="majorHAnsi" w:cstheme="majorBidi"/>
          <w:color w:val="17428C" w:themeColor="accent1"/>
          <w:sz w:val="24"/>
          <w:szCs w:val="24"/>
        </w:rPr>
        <w:t>Türkiye’de 14 marka ve 2 ortaklığıyla faaliyet göster</w:t>
      </w:r>
      <w:r w:rsidR="00DC3EEC">
        <w:rPr>
          <w:rFonts w:asciiTheme="majorHAnsi" w:eastAsiaTheme="majorEastAsia" w:hAnsiTheme="majorHAnsi" w:cstheme="majorBidi"/>
          <w:color w:val="17428C" w:themeColor="accent1"/>
          <w:sz w:val="24"/>
          <w:szCs w:val="24"/>
        </w:rPr>
        <w:t>en</w:t>
      </w:r>
      <w:r w:rsidRPr="002A26BC">
        <w:rPr>
          <w:rFonts w:asciiTheme="majorHAnsi" w:eastAsiaTheme="majorEastAsia" w:hAnsiTheme="majorHAnsi" w:cstheme="majorBidi"/>
          <w:color w:val="17428C" w:themeColor="accent1"/>
          <w:sz w:val="24"/>
          <w:szCs w:val="24"/>
        </w:rPr>
        <w:t xml:space="preserve"> Saint-Gobain Türkiye,</w:t>
      </w:r>
      <w:r w:rsidR="00024BAF">
        <w:rPr>
          <w:rFonts w:asciiTheme="majorHAnsi" w:eastAsiaTheme="majorEastAsia" w:hAnsiTheme="majorHAnsi" w:cstheme="majorBidi"/>
          <w:color w:val="17428C" w:themeColor="accent1"/>
          <w:sz w:val="24"/>
          <w:szCs w:val="24"/>
        </w:rPr>
        <w:t xml:space="preserve"> globalde olduğu gibi Türkiye’de de </w:t>
      </w:r>
      <w:r w:rsidRPr="002A26BC">
        <w:rPr>
          <w:rFonts w:asciiTheme="majorHAnsi" w:eastAsiaTheme="majorEastAsia" w:hAnsiTheme="majorHAnsi" w:cstheme="majorBidi"/>
          <w:color w:val="17428C" w:themeColor="accent1"/>
          <w:sz w:val="24"/>
          <w:szCs w:val="24"/>
        </w:rPr>
        <w:t>güçlü ve tutarlı insan kaynakları uygulamalarıyla bu alandaki istikrarlı başarısını devam ettiriyor.</w:t>
      </w:r>
    </w:p>
    <w:p w14:paraId="23D62D04" w14:textId="77777777" w:rsidR="00161B27" w:rsidRPr="002A26BC" w:rsidRDefault="00161B27" w:rsidP="004E2481">
      <w:pPr>
        <w:spacing w:after="0" w:line="240" w:lineRule="auto"/>
        <w:jc w:val="both"/>
        <w:rPr>
          <w:rFonts w:asciiTheme="majorHAnsi" w:eastAsiaTheme="majorEastAsia" w:hAnsiTheme="majorHAnsi" w:cstheme="majorBidi"/>
          <w:color w:val="17428C" w:themeColor="accent1"/>
          <w:sz w:val="24"/>
          <w:szCs w:val="24"/>
        </w:rPr>
      </w:pPr>
    </w:p>
    <w:p w14:paraId="2E95889F" w14:textId="244964B7" w:rsidR="00B173D2" w:rsidRPr="002A26BC" w:rsidRDefault="00B173D2" w:rsidP="004E2481">
      <w:pPr>
        <w:spacing w:after="0" w:line="240" w:lineRule="auto"/>
        <w:jc w:val="both"/>
        <w:rPr>
          <w:rFonts w:asciiTheme="majorHAnsi" w:eastAsiaTheme="majorEastAsia" w:hAnsiTheme="majorHAnsi" w:cstheme="majorBidi"/>
          <w:color w:val="17428C" w:themeColor="accent1"/>
          <w:sz w:val="24"/>
          <w:szCs w:val="24"/>
        </w:rPr>
      </w:pPr>
      <w:r w:rsidRPr="002A26BC">
        <w:rPr>
          <w:rFonts w:asciiTheme="majorHAnsi" w:eastAsiaTheme="majorEastAsia" w:hAnsiTheme="majorHAnsi" w:cstheme="majorBidi"/>
          <w:color w:val="17428C" w:themeColor="accent1"/>
          <w:sz w:val="24"/>
          <w:szCs w:val="24"/>
        </w:rPr>
        <w:t xml:space="preserve">Küresel değerlendirme kapsamında Türkiye’de de Top Employers Institute tarafından gerçekleştirilen değerlendirme sonuçları, </w:t>
      </w:r>
      <w:r w:rsidR="00024BAF">
        <w:rPr>
          <w:rFonts w:asciiTheme="majorHAnsi" w:eastAsiaTheme="majorEastAsia" w:hAnsiTheme="majorHAnsi" w:cstheme="majorBidi"/>
          <w:color w:val="17428C" w:themeColor="accent1"/>
          <w:sz w:val="24"/>
          <w:szCs w:val="24"/>
        </w:rPr>
        <w:t>g</w:t>
      </w:r>
      <w:r w:rsidRPr="002A26BC">
        <w:rPr>
          <w:rFonts w:asciiTheme="majorHAnsi" w:eastAsiaTheme="majorEastAsia" w:hAnsiTheme="majorHAnsi" w:cstheme="majorBidi"/>
          <w:color w:val="17428C" w:themeColor="accent1"/>
          <w:sz w:val="24"/>
          <w:szCs w:val="24"/>
        </w:rPr>
        <w:t xml:space="preserve">rup bünyesinde Saint-Gobain Türkiye’nin insan kaynakları uygulamalarında yüksek bir olgunluk ve tutarlılık seviyesine ulaştığını ortaya koydu. Elde edilen yüksek skorlar, Türkiye organizasyonunun </w:t>
      </w:r>
      <w:r w:rsidR="00024BAF">
        <w:rPr>
          <w:rFonts w:asciiTheme="majorHAnsi" w:eastAsiaTheme="majorEastAsia" w:hAnsiTheme="majorHAnsi" w:cstheme="majorBidi"/>
          <w:color w:val="17428C" w:themeColor="accent1"/>
          <w:sz w:val="24"/>
          <w:szCs w:val="24"/>
        </w:rPr>
        <w:t>grubun</w:t>
      </w:r>
      <w:r w:rsidRPr="002A26BC">
        <w:rPr>
          <w:rFonts w:asciiTheme="majorHAnsi" w:eastAsiaTheme="majorEastAsia" w:hAnsiTheme="majorHAnsi" w:cstheme="majorBidi"/>
          <w:color w:val="17428C" w:themeColor="accent1"/>
          <w:sz w:val="24"/>
          <w:szCs w:val="24"/>
        </w:rPr>
        <w:t xml:space="preserve"> küresel ortalamasına anlamlı bir katkı sunduğunu gösterdi.</w:t>
      </w:r>
    </w:p>
    <w:p w14:paraId="751246A1" w14:textId="77777777" w:rsidR="00E831A3" w:rsidRPr="002A26BC" w:rsidRDefault="00E831A3" w:rsidP="004E2481">
      <w:pPr>
        <w:spacing w:after="0" w:line="240" w:lineRule="auto"/>
        <w:jc w:val="both"/>
        <w:rPr>
          <w:rFonts w:asciiTheme="majorHAnsi" w:eastAsiaTheme="majorEastAsia" w:hAnsiTheme="majorHAnsi" w:cstheme="majorBidi"/>
          <w:color w:val="17428C" w:themeColor="accent1"/>
          <w:sz w:val="24"/>
          <w:szCs w:val="24"/>
        </w:rPr>
      </w:pPr>
    </w:p>
    <w:p w14:paraId="39A7197F" w14:textId="77777777" w:rsidR="00B173D2" w:rsidRPr="002A26BC" w:rsidRDefault="00B173D2" w:rsidP="004E2481">
      <w:pPr>
        <w:spacing w:after="0" w:line="240" w:lineRule="auto"/>
        <w:jc w:val="both"/>
        <w:rPr>
          <w:rFonts w:asciiTheme="majorHAnsi" w:eastAsiaTheme="majorEastAsia" w:hAnsiTheme="majorHAnsi" w:cstheme="majorBidi"/>
          <w:color w:val="17428C" w:themeColor="accent1"/>
          <w:sz w:val="24"/>
          <w:szCs w:val="24"/>
        </w:rPr>
      </w:pPr>
      <w:r w:rsidRPr="002A26BC">
        <w:rPr>
          <w:rFonts w:asciiTheme="majorHAnsi" w:eastAsiaTheme="majorEastAsia" w:hAnsiTheme="majorHAnsi" w:cstheme="majorBidi"/>
          <w:color w:val="17428C" w:themeColor="accent1"/>
          <w:sz w:val="24"/>
          <w:szCs w:val="24"/>
        </w:rPr>
        <w:t>2026 değerlendirme döneminde Saint-Gobain Türkiye, yüzde 91,7’lik genel skor elde ederek yüzde 84,9’luk referans değerin 6,82 puan üzerine çıktı. Bu sonuç, şirketin uzun vadeli iş hedefleriyle uyumlu, sistematik ve sürdürülebilir bir insan ve kültür yaklaşımı benimsediğini güçlü biçimde teyit etti.</w:t>
      </w:r>
    </w:p>
    <w:p w14:paraId="15A71A02" w14:textId="77777777" w:rsidR="004E2481" w:rsidRPr="002A26BC" w:rsidRDefault="004E2481" w:rsidP="004E2481">
      <w:pPr>
        <w:spacing w:after="0" w:line="240" w:lineRule="auto"/>
        <w:jc w:val="both"/>
        <w:rPr>
          <w:rFonts w:asciiTheme="majorHAnsi" w:eastAsiaTheme="majorEastAsia" w:hAnsiTheme="majorHAnsi" w:cstheme="majorBidi"/>
          <w:color w:val="17428C" w:themeColor="accent1"/>
          <w:sz w:val="24"/>
          <w:szCs w:val="24"/>
        </w:rPr>
      </w:pPr>
    </w:p>
    <w:p w14:paraId="5A89FFE4" w14:textId="4C528AE4" w:rsidR="00B173D2" w:rsidRPr="002A26BC" w:rsidRDefault="00B173D2" w:rsidP="004E2481">
      <w:pPr>
        <w:spacing w:after="0" w:line="240" w:lineRule="auto"/>
        <w:jc w:val="both"/>
        <w:rPr>
          <w:rFonts w:asciiTheme="majorHAnsi" w:eastAsiaTheme="majorEastAsia" w:hAnsiTheme="majorHAnsi" w:cstheme="majorBidi"/>
          <w:color w:val="17428C" w:themeColor="accent1"/>
          <w:sz w:val="24"/>
          <w:szCs w:val="24"/>
        </w:rPr>
      </w:pPr>
      <w:r w:rsidRPr="002A26BC">
        <w:rPr>
          <w:rFonts w:asciiTheme="majorHAnsi" w:eastAsiaTheme="majorEastAsia" w:hAnsiTheme="majorHAnsi" w:cstheme="majorBidi"/>
          <w:color w:val="17428C" w:themeColor="accent1"/>
          <w:sz w:val="24"/>
          <w:szCs w:val="24"/>
        </w:rPr>
        <w:t>Detaylı sonuçlar incelendiğinde; çekim başlığında yüzde 98,32 ile referans değerin 13,9 puan üzerinde bir performans sergilediği; yönetişim ve strateji alanında yüzde 93,39, gelişim alanında yüzde 93,82, bağlılık alanında yüzde 87,69, amaç ve değerler alanında yüzde 94 skorlarına ulaşıldığı görülüyor. Çalışan bağlılığı, yetenek kazanımı, öğrenme-gelişim ile amaç ve değerler başlıklarında elde edilen bu güçlü sonuçlar, Saint-Gobain Türkiye’nin etik, kapsayıcı ve insan odaklı işveren yaklaşımını kurumsal kültürünün merkezine yerleştirdiğini bir kez daha ortaya koyuyor.</w:t>
      </w:r>
    </w:p>
    <w:p w14:paraId="21B7409E" w14:textId="77777777" w:rsidR="004E2481" w:rsidRPr="002A26BC" w:rsidRDefault="004E2481" w:rsidP="004E2481">
      <w:pPr>
        <w:spacing w:after="0" w:line="240" w:lineRule="auto"/>
        <w:jc w:val="both"/>
        <w:rPr>
          <w:rFonts w:asciiTheme="majorHAnsi" w:eastAsiaTheme="majorEastAsia" w:hAnsiTheme="majorHAnsi" w:cstheme="majorBidi"/>
          <w:color w:val="17428C" w:themeColor="accent1"/>
          <w:sz w:val="24"/>
          <w:szCs w:val="24"/>
        </w:rPr>
      </w:pPr>
    </w:p>
    <w:p w14:paraId="44FF7310" w14:textId="77777777" w:rsidR="00544019" w:rsidRPr="00D471E8" w:rsidRDefault="00544019" w:rsidP="00544019">
      <w:pPr>
        <w:keepNext/>
        <w:keepLines/>
        <w:spacing w:after="120" w:line="280" w:lineRule="exact"/>
        <w:jc w:val="both"/>
        <w:outlineLvl w:val="1"/>
        <w:rPr>
          <w:rFonts w:asciiTheme="majorHAnsi" w:eastAsiaTheme="majorEastAsia" w:hAnsiTheme="majorHAnsi" w:cstheme="majorBidi"/>
          <w:b/>
          <w:bCs/>
          <w:noProof/>
          <w:color w:val="67B9B0" w:themeColor="accent4"/>
          <w:szCs w:val="26"/>
          <w:lang w:val="tr-TR"/>
          <w14:textFill>
            <w14:gradFill>
              <w14:gsLst>
                <w14:gs w14:pos="0">
                  <w14:schemeClr w14:val="accent2"/>
                </w14:gs>
                <w14:gs w14:pos="100000">
                  <w14:schemeClr w14:val="accent1"/>
                </w14:gs>
              </w14:gsLst>
              <w14:lin w14:ang="10800000" w14:scaled="0"/>
            </w14:gradFill>
          </w14:textFill>
        </w:rPr>
      </w:pPr>
      <w:r w:rsidRPr="00D471E8">
        <w:rPr>
          <w:rFonts w:asciiTheme="majorHAnsi" w:eastAsiaTheme="majorEastAsia" w:hAnsiTheme="majorHAnsi" w:cstheme="majorBidi"/>
          <w:b/>
          <w:bCs/>
          <w:noProof/>
          <w:color w:val="67B9B0" w:themeColor="accent4"/>
          <w:szCs w:val="26"/>
          <w:lang w:val="tr-TR"/>
        </w:rPr>
        <w:t>SAINT-GOBAIN HAKKINDA</w:t>
      </w:r>
    </w:p>
    <w:p w14:paraId="16EDFBA4" w14:textId="77777777" w:rsidR="00544019" w:rsidRDefault="00544019" w:rsidP="00544019">
      <w:pPr>
        <w:jc w:val="both"/>
        <w:rPr>
          <w:rFonts w:asciiTheme="majorHAnsi" w:eastAsiaTheme="majorEastAsia" w:hAnsiTheme="majorHAnsi" w:cstheme="majorBidi"/>
          <w:color w:val="17428C" w:themeColor="accent1"/>
          <w:sz w:val="20"/>
          <w:szCs w:val="20"/>
          <w:lang w:val="en-GB"/>
        </w:rPr>
      </w:pPr>
      <w:r w:rsidRPr="00544019">
        <w:rPr>
          <w:rFonts w:asciiTheme="majorHAnsi" w:eastAsiaTheme="majorEastAsia" w:hAnsiTheme="majorHAnsi" w:cstheme="majorBidi"/>
          <w:color w:val="17428C" w:themeColor="accent1"/>
          <w:sz w:val="20"/>
          <w:szCs w:val="20"/>
          <w:lang w:val="en-GB"/>
        </w:rPr>
        <w:t>Sürdürülebilir ve hafif inşaat çözümlerinde dünya lideri olan Saint-Gobain, inşaat ve endüstriyel pazarlara yönelik malzemeler ve hizmetler tasarlamakta, üretmekte ve dağıtmaktadır. Kamu ve özel binaların yenilenmesi, hafif inşaatların, inşaatların ve endüstrinin karbondan arındırılması için kesintisiz bir inovasyon süreciyle geliştirilmiş bütünleşik çözümler sunarak sürdürülebilirlik ve performans sağlar. 2025 yılında kuruluşunun 360. yılını kutlayan Grubun tüm faaliyetleri ve taahhütleri var olma amacına "MAKING THE WORLD A BETTER HOME" hizmet etmektedir. </w:t>
      </w:r>
    </w:p>
    <w:p w14:paraId="42DB84D1" w14:textId="77777777" w:rsidR="00544019" w:rsidRPr="00274118" w:rsidRDefault="00544019" w:rsidP="00544019">
      <w:pPr>
        <w:jc w:val="both"/>
        <w:rPr>
          <w:rFonts w:asciiTheme="majorHAnsi" w:eastAsiaTheme="majorEastAsia" w:hAnsiTheme="majorHAnsi" w:cstheme="majorBidi"/>
          <w:b/>
          <w:bCs/>
          <w:color w:val="17428C" w:themeColor="accent1"/>
          <w:sz w:val="20"/>
          <w:szCs w:val="20"/>
          <w:lang w:val="en-GB"/>
        </w:rPr>
      </w:pPr>
      <w:r w:rsidRPr="00274118">
        <w:rPr>
          <w:rFonts w:asciiTheme="majorHAnsi" w:eastAsiaTheme="majorEastAsia" w:hAnsiTheme="majorHAnsi" w:cstheme="majorBidi"/>
          <w:b/>
          <w:bCs/>
          <w:color w:val="17428C" w:themeColor="accent1"/>
          <w:sz w:val="20"/>
          <w:szCs w:val="20"/>
          <w:lang w:val="en-GB"/>
        </w:rPr>
        <w:t>2024 yılında 46,6 milyar EUR değerinde satış</w:t>
      </w:r>
    </w:p>
    <w:p w14:paraId="7A830F47" w14:textId="77777777" w:rsidR="00544019" w:rsidRPr="00274118" w:rsidRDefault="00544019" w:rsidP="00544019">
      <w:pPr>
        <w:jc w:val="both"/>
        <w:rPr>
          <w:rFonts w:asciiTheme="majorHAnsi" w:eastAsiaTheme="majorEastAsia" w:hAnsiTheme="majorHAnsi" w:cstheme="majorBidi"/>
          <w:b/>
          <w:bCs/>
          <w:color w:val="17428C" w:themeColor="accent1"/>
          <w:sz w:val="20"/>
          <w:szCs w:val="20"/>
          <w:lang w:val="en-GB"/>
        </w:rPr>
      </w:pPr>
      <w:r w:rsidRPr="00274118">
        <w:rPr>
          <w:rFonts w:asciiTheme="majorHAnsi" w:eastAsiaTheme="majorEastAsia" w:hAnsiTheme="majorHAnsi" w:cstheme="majorBidi"/>
          <w:b/>
          <w:bCs/>
          <w:color w:val="17428C" w:themeColor="accent1"/>
          <w:sz w:val="20"/>
          <w:szCs w:val="20"/>
          <w:lang w:val="en-GB"/>
        </w:rPr>
        <w:t>80 ülkede 161.000 çalışan</w:t>
      </w:r>
    </w:p>
    <w:p w14:paraId="10EE1054" w14:textId="77777777" w:rsidR="00544019" w:rsidRPr="00274118" w:rsidRDefault="00544019" w:rsidP="00544019">
      <w:pPr>
        <w:jc w:val="both"/>
        <w:rPr>
          <w:rFonts w:asciiTheme="majorHAnsi" w:eastAsiaTheme="majorEastAsia" w:hAnsiTheme="majorHAnsi" w:cstheme="majorBidi"/>
          <w:b/>
          <w:bCs/>
          <w:color w:val="17428C" w:themeColor="accent1"/>
          <w:sz w:val="20"/>
          <w:szCs w:val="20"/>
          <w:lang w:val="en-GB"/>
        </w:rPr>
      </w:pPr>
      <w:r w:rsidRPr="00274118">
        <w:rPr>
          <w:rFonts w:asciiTheme="majorHAnsi" w:eastAsiaTheme="majorEastAsia" w:hAnsiTheme="majorHAnsi" w:cstheme="majorBidi"/>
          <w:b/>
          <w:bCs/>
          <w:color w:val="17428C" w:themeColor="accent1"/>
          <w:sz w:val="20"/>
          <w:szCs w:val="20"/>
          <w:lang w:val="en-GB"/>
        </w:rPr>
        <w:t>2050 yılına kadar Net Sıfır Karbon hedefine ulaşmaya kararlı</w:t>
      </w:r>
    </w:p>
    <w:p w14:paraId="5C6FB510" w14:textId="3154A5AD" w:rsidR="00544019" w:rsidRPr="00995F73" w:rsidRDefault="00544019" w:rsidP="00995F73">
      <w:pPr>
        <w:jc w:val="both"/>
        <w:rPr>
          <w:rFonts w:asciiTheme="majorHAnsi" w:eastAsiaTheme="majorEastAsia" w:hAnsiTheme="majorHAnsi" w:cstheme="majorBidi"/>
          <w:b/>
          <w:bCs/>
          <w:color w:val="17428C" w:themeColor="accent1"/>
          <w:sz w:val="20"/>
          <w:szCs w:val="20"/>
          <w:lang w:val="en-GB"/>
        </w:rPr>
      </w:pPr>
      <w:r w:rsidRPr="00274118">
        <w:rPr>
          <w:rFonts w:asciiTheme="majorHAnsi" w:eastAsiaTheme="majorEastAsia" w:hAnsiTheme="majorHAnsi" w:cstheme="majorBidi"/>
          <w:b/>
          <w:bCs/>
          <w:color w:val="17428C" w:themeColor="accent1"/>
          <w:sz w:val="20"/>
          <w:szCs w:val="20"/>
          <w:lang w:val="en-GB"/>
        </w:rPr>
        <w:t xml:space="preserve">Saint-Gobain hakkında daha fazla bilgi için </w:t>
      </w:r>
      <w:r w:rsidR="004E2481" w:rsidRPr="009F35A0">
        <w:rPr>
          <w:noProof/>
          <w:lang w:val="tr-TR" w:eastAsia="fr-FR"/>
        </w:rPr>
        <mc:AlternateContent>
          <mc:Choice Requires="wps">
            <w:drawing>
              <wp:anchor distT="0" distB="0" distL="114300" distR="114300" simplePos="0" relativeHeight="251663360" behindDoc="0" locked="0" layoutInCell="1" allowOverlap="1" wp14:anchorId="32D0C919" wp14:editId="62202298">
                <wp:simplePos x="0" y="0"/>
                <wp:positionH relativeFrom="margin">
                  <wp:align>left</wp:align>
                </wp:positionH>
                <wp:positionV relativeFrom="paragraph">
                  <wp:posOffset>261786</wp:posOffset>
                </wp:positionV>
                <wp:extent cx="4092575" cy="842838"/>
                <wp:effectExtent l="0" t="0" r="22225" b="14605"/>
                <wp:wrapNone/>
                <wp:docPr id="1" name="Zone de texte 1"/>
                <wp:cNvGraphicFramePr/>
                <a:graphic xmlns:a="http://schemas.openxmlformats.org/drawingml/2006/main">
                  <a:graphicData uri="http://schemas.microsoft.com/office/word/2010/wordprocessingShape">
                    <wps:wsp>
                      <wps:cNvSpPr txBox="1"/>
                      <wps:spPr>
                        <a:xfrm>
                          <a:off x="0" y="0"/>
                          <a:ext cx="4092575" cy="842838"/>
                        </a:xfrm>
                        <a:prstGeom prst="roundRect">
                          <a:avLst/>
                        </a:prstGeom>
                        <a:solidFill>
                          <a:sysClr val="window" lastClr="FFFFFF"/>
                        </a:solidFill>
                        <a:ln w="15875">
                          <a:gradFill>
                            <a:gsLst>
                              <a:gs pos="82000">
                                <a:srgbClr val="17428C"/>
                              </a:gs>
                              <a:gs pos="20000">
                                <a:srgbClr val="CE142E"/>
                              </a:gs>
                            </a:gsLst>
                            <a:lin ang="5400000" scaled="1"/>
                          </a:gradFill>
                        </a:ln>
                      </wps:spPr>
                      <wps:txbx>
                        <w:txbxContent>
                          <w:p w14:paraId="2604387F" w14:textId="77777777" w:rsidR="009F35A0" w:rsidRPr="00D471E8" w:rsidRDefault="009F35A0" w:rsidP="009F35A0">
                            <w:pPr>
                              <w:pStyle w:val="Heading4"/>
                              <w:rPr>
                                <w:lang w:val="sv-SE"/>
                              </w:rPr>
                            </w:pPr>
                            <w:r w:rsidRPr="00D471E8">
                              <w:rPr>
                                <w:lang w:val="sv-SE"/>
                              </w:rPr>
                              <w:t>Bilgi için;</w:t>
                            </w:r>
                          </w:p>
                          <w:p w14:paraId="0AF83855" w14:textId="7A9CD009" w:rsidR="009F35A0" w:rsidRPr="00D471E8" w:rsidRDefault="009F35A0" w:rsidP="009F35A0">
                            <w:pPr>
                              <w:spacing w:before="60" w:line="240" w:lineRule="auto"/>
                              <w:rPr>
                                <w:sz w:val="20"/>
                                <w:szCs w:val="20"/>
                                <w:lang w:val="sv-SE"/>
                              </w:rPr>
                            </w:pPr>
                            <w:r w:rsidRPr="004E2481">
                              <w:rPr>
                                <w:rFonts w:asciiTheme="majorHAnsi" w:eastAsiaTheme="majorEastAsia" w:hAnsiTheme="majorHAnsi" w:cstheme="majorBidi"/>
                                <w:color w:val="17428C" w:themeColor="accent1"/>
                                <w:sz w:val="20"/>
                                <w:szCs w:val="20"/>
                                <w:lang w:val="en-GB"/>
                              </w:rPr>
                              <w:t>Mustafa Salih, M</w:t>
                            </w:r>
                            <w:r w:rsidR="004E2481">
                              <w:rPr>
                                <w:rFonts w:asciiTheme="majorHAnsi" w:eastAsiaTheme="majorEastAsia" w:hAnsiTheme="majorHAnsi" w:cstheme="majorBidi"/>
                                <w:color w:val="17428C" w:themeColor="accent1"/>
                                <w:sz w:val="20"/>
                                <w:szCs w:val="20"/>
                                <w:lang w:val="en-GB"/>
                              </w:rPr>
                              <w:t xml:space="preserve">ENA </w:t>
                            </w:r>
                            <w:r w:rsidRPr="004E2481">
                              <w:rPr>
                                <w:rFonts w:asciiTheme="majorHAnsi" w:eastAsiaTheme="majorEastAsia" w:hAnsiTheme="majorHAnsi" w:cstheme="majorBidi"/>
                                <w:color w:val="17428C" w:themeColor="accent1"/>
                                <w:sz w:val="20"/>
                                <w:szCs w:val="20"/>
                                <w:lang w:val="en-GB"/>
                              </w:rPr>
                              <w:t>İletişim:</w:t>
                            </w:r>
                            <w:r w:rsidRPr="00D471E8">
                              <w:rPr>
                                <w:sz w:val="20"/>
                                <w:szCs w:val="20"/>
                                <w:lang w:val="sv-SE"/>
                              </w:rPr>
                              <w:tab/>
                            </w:r>
                            <w:r w:rsidRPr="004E2481">
                              <w:rPr>
                                <w:rFonts w:asciiTheme="majorHAnsi" w:eastAsiaTheme="majorEastAsia" w:hAnsiTheme="majorHAnsi" w:cstheme="majorBidi"/>
                                <w:color w:val="17428C" w:themeColor="accent1"/>
                                <w:sz w:val="20"/>
                                <w:szCs w:val="20"/>
                                <w:lang w:val="en-GB"/>
                              </w:rPr>
                              <w:t>+90 555 217 91 18</w:t>
                            </w:r>
                            <w:r w:rsidRPr="00D471E8">
                              <w:rPr>
                                <w:sz w:val="20"/>
                                <w:szCs w:val="20"/>
                                <w:lang w:val="sv-SE"/>
                              </w:rPr>
                              <w:t xml:space="preserve"> </w:t>
                            </w:r>
                          </w:p>
                          <w:p w14:paraId="6F95C056" w14:textId="77777777" w:rsidR="009F35A0" w:rsidRPr="00D471E8" w:rsidRDefault="009F35A0" w:rsidP="009F35A0">
                            <w:pPr>
                              <w:spacing w:before="60" w:line="240" w:lineRule="auto"/>
                              <w:rPr>
                                <w:sz w:val="20"/>
                                <w:szCs w:val="20"/>
                                <w:lang w:val="sv-S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D0C919" id="Zone de texte 1" o:spid="_x0000_s1026" style="position:absolute;left:0;text-align:left;margin-left:0;margin-top:20.6pt;width:322.25pt;height:66.3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" fillcolor="window" strokeweight="1.25pt">
                <v:textbox>
                  <w:txbxContent>
                    <w:p w14:paraId="2604387F" w14:textId="77777777" w:rsidR="009F35A0" w:rsidRPr="00D471E8" w:rsidRDefault="009F35A0" w:rsidP="009F35A0">
                      <w:pPr>
                        <w:pStyle w:val="Heading4"/>
                        <w:rPr>
                          <w:lang w:val="sv-SE"/>
                        </w:rPr>
                      </w:pPr>
                      <w:r w:rsidRPr="00D471E8">
                        <w:rPr>
                          <w:lang w:val="sv-SE"/>
                        </w:rPr>
                        <w:t>Bilgi için;</w:t>
                      </w:r>
                    </w:p>
                    <w:p w14:paraId="0AF83855" w14:textId="7A9CD009" w:rsidR="009F35A0" w:rsidRPr="00D471E8" w:rsidRDefault="009F35A0" w:rsidP="009F35A0">
                      <w:pPr>
                        <w:spacing w:before="60" w:line="240" w:lineRule="auto"/>
                        <w:rPr>
                          <w:sz w:val="20"/>
                          <w:szCs w:val="20"/>
                          <w:lang w:val="sv-SE"/>
                        </w:rPr>
                      </w:pPr>
                      <w:r w:rsidRPr="004E2481">
                        <w:rPr>
                          <w:rFonts w:asciiTheme="majorHAnsi" w:eastAsiaTheme="majorEastAsia" w:hAnsiTheme="majorHAnsi" w:cstheme="majorBidi"/>
                          <w:color w:val="17428C" w:themeColor="accent1"/>
                          <w:sz w:val="20"/>
                          <w:szCs w:val="20"/>
                          <w:lang w:val="en-GB"/>
                        </w:rPr>
                        <w:t>Mustafa Salih, M</w:t>
                      </w:r>
                      <w:r w:rsidR="004E2481">
                        <w:rPr>
                          <w:rFonts w:asciiTheme="majorHAnsi" w:eastAsiaTheme="majorEastAsia" w:hAnsiTheme="majorHAnsi" w:cstheme="majorBidi"/>
                          <w:color w:val="17428C" w:themeColor="accent1"/>
                          <w:sz w:val="20"/>
                          <w:szCs w:val="20"/>
                          <w:lang w:val="en-GB"/>
                        </w:rPr>
                        <w:t xml:space="preserve">ENA </w:t>
                      </w:r>
                      <w:r w:rsidRPr="004E2481">
                        <w:rPr>
                          <w:rFonts w:asciiTheme="majorHAnsi" w:eastAsiaTheme="majorEastAsia" w:hAnsiTheme="majorHAnsi" w:cstheme="majorBidi"/>
                          <w:color w:val="17428C" w:themeColor="accent1"/>
                          <w:sz w:val="20"/>
                          <w:szCs w:val="20"/>
                          <w:lang w:val="en-GB"/>
                        </w:rPr>
                        <w:t>İletişim:</w:t>
                      </w:r>
                      <w:r w:rsidRPr="00D471E8">
                        <w:rPr>
                          <w:sz w:val="20"/>
                          <w:szCs w:val="20"/>
                          <w:lang w:val="sv-SE"/>
                        </w:rPr>
                        <w:tab/>
                      </w:r>
                      <w:r w:rsidRPr="004E2481">
                        <w:rPr>
                          <w:rFonts w:asciiTheme="majorHAnsi" w:eastAsiaTheme="majorEastAsia" w:hAnsiTheme="majorHAnsi" w:cstheme="majorBidi"/>
                          <w:color w:val="17428C" w:themeColor="accent1"/>
                          <w:sz w:val="20"/>
                          <w:szCs w:val="20"/>
                          <w:lang w:val="en-GB"/>
                        </w:rPr>
                        <w:t>+90 555 217 91 18</w:t>
                      </w:r>
                      <w:r w:rsidRPr="00D471E8">
                        <w:rPr>
                          <w:sz w:val="20"/>
                          <w:szCs w:val="20"/>
                          <w:lang w:val="sv-SE"/>
                        </w:rPr>
                        <w:t xml:space="preserve"> </w:t>
                      </w:r>
                    </w:p>
                    <w:p w14:paraId="6F95C056" w14:textId="77777777" w:rsidR="009F35A0" w:rsidRPr="00D471E8" w:rsidRDefault="009F35A0" w:rsidP="009F35A0">
                      <w:pPr>
                        <w:spacing w:before="60" w:line="240" w:lineRule="auto"/>
                        <w:rPr>
                          <w:sz w:val="20"/>
                          <w:szCs w:val="20"/>
                          <w:lang w:val="sv-SE"/>
                        </w:rPr>
                      </w:pPr>
                    </w:p>
                  </w:txbxContent>
                </v:textbox>
                <w10:wrap anchorx="margin"/>
              </v:roundrect>
            </w:pict>
          </mc:Fallback>
        </mc:AlternateContent>
      </w:r>
      <w:r w:rsidR="004E2481" w:rsidRPr="004E2481">
        <w:rPr>
          <w:sz w:val="20"/>
          <w:szCs w:val="20"/>
        </w:rPr>
        <w:t xml:space="preserve"> </w:t>
      </w:r>
      <w:hyperlink r:id="rId13" w:history="1">
        <w:r w:rsidR="004E2481" w:rsidRPr="004E2481">
          <w:rPr>
            <w:rStyle w:val="Hyperlink"/>
            <w:sz w:val="20"/>
            <w:szCs w:val="20"/>
            <w:lang w:val="tr-TR"/>
          </w:rPr>
          <w:t>http://www.saint-gobain.com</w:t>
        </w:r>
      </w:hyperlink>
      <w:r w:rsidR="00757134" w:rsidRPr="004E2481">
        <w:rPr>
          <w:rStyle w:val="Hyperlink"/>
          <w:sz w:val="20"/>
          <w:szCs w:val="20"/>
          <w:lang w:val="tr-TR"/>
        </w:rPr>
        <w:t>.tr</w:t>
      </w:r>
      <w:r w:rsidR="00757134" w:rsidRPr="004E2481">
        <w:rPr>
          <w:sz w:val="20"/>
          <w:szCs w:val="20"/>
          <w:lang w:val="tr-TR"/>
        </w:rPr>
        <w:t xml:space="preserve"> </w:t>
      </w:r>
      <w:r w:rsidR="00757134" w:rsidRPr="002A26BC">
        <w:rPr>
          <w:rFonts w:asciiTheme="majorHAnsi" w:eastAsiaTheme="majorEastAsia" w:hAnsiTheme="majorHAnsi" w:cstheme="majorBidi"/>
          <w:b/>
          <w:bCs/>
          <w:color w:val="17428C" w:themeColor="accent1"/>
          <w:sz w:val="20"/>
          <w:szCs w:val="20"/>
          <w:lang w:val="en-GB"/>
        </w:rPr>
        <w:t>adresini ziyaret edin</w:t>
      </w:r>
    </w:p>
    <w:p w14:paraId="4B514D7A" w14:textId="77777777" w:rsidR="00544019" w:rsidRDefault="00544019" w:rsidP="00687686">
      <w:pPr>
        <w:pStyle w:val="Heading2"/>
        <w:spacing w:after="120"/>
        <w:rPr>
          <w:b/>
          <w:bCs/>
          <w:color w:val="67B9B0" w:themeColor="accent4"/>
          <w:lang w:val="en-GB"/>
        </w:rPr>
      </w:pPr>
    </w:p>
    <w:p w14:paraId="2FE907E5" w14:textId="77777777" w:rsidR="00544019" w:rsidRDefault="00544019" w:rsidP="00687686">
      <w:pPr>
        <w:pStyle w:val="Heading2"/>
        <w:spacing w:after="120"/>
        <w:rPr>
          <w:b/>
          <w:bCs/>
          <w:color w:val="67B9B0" w:themeColor="accent4"/>
          <w:lang w:val="en-GB"/>
        </w:rPr>
      </w:pPr>
    </w:p>
    <w:p w14:paraId="5C4127C0" w14:textId="77777777" w:rsidR="00544019" w:rsidRDefault="00544019" w:rsidP="00687686">
      <w:pPr>
        <w:pStyle w:val="Heading2"/>
        <w:spacing w:after="120"/>
        <w:rPr>
          <w:b/>
          <w:bCs/>
          <w:color w:val="67B9B0" w:themeColor="accent4"/>
          <w:lang w:val="en-GB"/>
        </w:rPr>
      </w:pPr>
    </w:p>
    <w:p w14:paraId="43197F8E" w14:textId="77777777" w:rsidR="00687686" w:rsidRPr="00B2235B" w:rsidRDefault="00687686" w:rsidP="00687686">
      <w:pPr>
        <w:pStyle w:val="Heading2"/>
        <w:rPr>
          <w:sz w:val="20"/>
          <w:szCs w:val="20"/>
          <w:lang w:val="en-GB"/>
        </w:rPr>
      </w:pPr>
    </w:p>
    <w:p w14:paraId="5731764D" w14:textId="2CBE6CE0" w:rsidR="008265FB" w:rsidRPr="00196943" w:rsidRDefault="008265FB" w:rsidP="008265FB">
      <w:pPr>
        <w:spacing w:after="0" w:line="240" w:lineRule="auto"/>
        <w:rPr>
          <w:rFonts w:ascii="Arial" w:eastAsiaTheme="majorEastAsia" w:hAnsi="Arial" w:cs="Arial"/>
          <w:b/>
          <w:bCs/>
          <w:color w:val="17428C" w:themeColor="accent1"/>
          <w:sz w:val="20"/>
          <w:szCs w:val="24"/>
          <w:lang w:val="en-GB"/>
        </w:rPr>
      </w:pPr>
    </w:p>
    <w:sectPr w:rsidR="008265FB" w:rsidRPr="00196943" w:rsidSect="00B15984">
      <w:headerReference w:type="even" r:id="rId14"/>
      <w:headerReference w:type="default" r:id="rId15"/>
      <w:footerReference w:type="even" r:id="rId16"/>
      <w:footerReference w:type="default" r:id="rId17"/>
      <w:headerReference w:type="first" r:id="rId18"/>
      <w:footerReference w:type="first" r:id="rId19"/>
      <w:pgSz w:w="11906" w:h="16838" w:code="9"/>
      <w:pgMar w:top="2268" w:right="1276" w:bottom="1134" w:left="1134" w:header="567"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FEBDE" w14:textId="77777777" w:rsidR="00515C5E" w:rsidRDefault="00515C5E" w:rsidP="000D2398">
      <w:pPr>
        <w:spacing w:after="0" w:line="240" w:lineRule="auto"/>
      </w:pPr>
      <w:r>
        <w:separator/>
      </w:r>
    </w:p>
  </w:endnote>
  <w:endnote w:type="continuationSeparator" w:id="0">
    <w:p w14:paraId="1C3E5A9C" w14:textId="77777777" w:rsidR="00515C5E" w:rsidRDefault="00515C5E" w:rsidP="000D2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 Pro">
    <w:panose1 w:val="00000000000000000000"/>
    <w:charset w:val="00"/>
    <w:family w:val="roman"/>
    <w:notTrueType/>
    <w:pitch w:val="variable"/>
    <w:sig w:usb0="60000287" w:usb1="00000001" w:usb2="00000000" w:usb3="00000000" w:csb0="0000019F" w:csb1="00000000"/>
  </w:font>
  <w:font w:name="Arial (Headings)">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86360" w14:textId="77777777" w:rsidR="004E2481" w:rsidRDefault="004E24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AD098" w14:textId="77777777" w:rsidR="004E2481" w:rsidRDefault="004E24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D066A" w14:textId="77777777" w:rsidR="004E2481" w:rsidRDefault="004E2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EFAAC" w14:textId="77777777" w:rsidR="00515C5E" w:rsidRDefault="00515C5E" w:rsidP="000D2398">
      <w:pPr>
        <w:spacing w:after="0" w:line="240" w:lineRule="auto"/>
      </w:pPr>
      <w:r>
        <w:separator/>
      </w:r>
    </w:p>
  </w:footnote>
  <w:footnote w:type="continuationSeparator" w:id="0">
    <w:p w14:paraId="6B3E6C8B" w14:textId="77777777" w:rsidR="00515C5E" w:rsidRDefault="00515C5E" w:rsidP="000D2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9E587" w14:textId="77777777" w:rsidR="004E2481" w:rsidRDefault="004E24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10D24" w14:textId="77777777" w:rsidR="00562382" w:rsidRDefault="005A3D76" w:rsidP="00687686">
    <w:pPr>
      <w:pStyle w:val="Header"/>
      <w:tabs>
        <w:tab w:val="clear" w:pos="4680"/>
        <w:tab w:val="clear" w:pos="9360"/>
        <w:tab w:val="left" w:pos="5745"/>
      </w:tabs>
      <w:ind w:left="-567"/>
      <w:rPr>
        <w:b/>
        <w:bCs/>
        <w:noProof/>
        <w:sz w:val="28"/>
        <w:szCs w:val="28"/>
        <w:lang w:val="fr-FR"/>
        <w14:textFill>
          <w14:gradFill>
            <w14:gsLst>
              <w14:gs w14:pos="0">
                <w14:schemeClr w14:val="accent4"/>
              </w14:gs>
              <w14:gs w14:pos="50000">
                <w14:schemeClr w14:val="accent5"/>
              </w14:gs>
              <w14:gs w14:pos="100000">
                <w14:schemeClr w14:val="accent1"/>
              </w14:gs>
            </w14:gsLst>
            <w14:lin w14:ang="0" w14:scaled="0"/>
          </w14:gradFill>
        </w14:textFill>
      </w:rPr>
    </w:pPr>
    <w:r>
      <w:rPr>
        <w:b/>
        <w:bCs/>
        <w:noProof/>
        <w:color w:val="17428C" w:themeColor="accent1"/>
        <w:sz w:val="40"/>
        <w:szCs w:val="40"/>
      </w:rPr>
      <w:drawing>
        <wp:anchor distT="0" distB="0" distL="114300" distR="114300" simplePos="0" relativeHeight="251666432" behindDoc="0" locked="0" layoutInCell="1" allowOverlap="1" wp14:anchorId="362F3C16" wp14:editId="6E8299DA">
          <wp:simplePos x="0" y="0"/>
          <wp:positionH relativeFrom="column">
            <wp:posOffset>4319743</wp:posOffset>
          </wp:positionH>
          <wp:positionV relativeFrom="paragraph">
            <wp:posOffset>150318</wp:posOffset>
          </wp:positionV>
          <wp:extent cx="1687830" cy="704215"/>
          <wp:effectExtent l="0" t="0" r="7620" b="635"/>
          <wp:wrapNone/>
          <wp:docPr id="755820176" name="Picture 755820176" descr="A logo with a city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20163" name="Picture 755820163" descr="A logo with a city silhouette&#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7830" cy="704215"/>
                  </a:xfrm>
                  <a:prstGeom prst="rect">
                    <a:avLst/>
                  </a:prstGeom>
                  <a:noFill/>
                  <a:ln>
                    <a:noFill/>
                  </a:ln>
                </pic:spPr>
              </pic:pic>
            </a:graphicData>
          </a:graphic>
        </wp:anchor>
      </w:drawing>
    </w:r>
    <w:r w:rsidR="00475D84" w:rsidRPr="006F2B82">
      <w:rPr>
        <w:b/>
        <w:bCs/>
        <w:noProof/>
        <w:sz w:val="28"/>
        <w:szCs w:val="28"/>
        <w14:textFill>
          <w14:gradFill>
            <w14:gsLst>
              <w14:gs w14:pos="0">
                <w14:schemeClr w14:val="accent4"/>
              </w14:gs>
              <w14:gs w14:pos="50000">
                <w14:schemeClr w14:val="accent5"/>
              </w14:gs>
              <w14:gs w14:pos="100000">
                <w14:schemeClr w14:val="accent1"/>
              </w14:gs>
            </w14:gsLst>
            <w14:lin w14:ang="0" w14:scaled="0"/>
          </w14:gradFill>
        </w14:textFill>
      </w:rPr>
      <mc:AlternateContent>
        <mc:Choice Requires="wps">
          <w:drawing>
            <wp:anchor distT="0" distB="0" distL="114300" distR="114300" simplePos="0" relativeHeight="251670528" behindDoc="0" locked="0" layoutInCell="1" allowOverlap="1" wp14:anchorId="2082D494" wp14:editId="3F068950">
              <wp:simplePos x="0" y="0"/>
              <wp:positionH relativeFrom="page">
                <wp:align>left</wp:align>
              </wp:positionH>
              <wp:positionV relativeFrom="paragraph">
                <wp:posOffset>-361950</wp:posOffset>
              </wp:positionV>
              <wp:extent cx="7559675" cy="10194554"/>
              <wp:effectExtent l="0" t="0" r="3175" b="0"/>
              <wp:wrapNone/>
              <wp:docPr id="755820165" name="Freeform: Shape 1"/>
              <wp:cNvGraphicFramePr/>
              <a:graphic xmlns:a="http://schemas.openxmlformats.org/drawingml/2006/main">
                <a:graphicData uri="http://schemas.microsoft.com/office/word/2010/wordprocessingShape">
                  <wps:wsp>
                    <wps:cNvSpPr/>
                    <wps:spPr>
                      <a:xfrm>
                        <a:off x="0" y="0"/>
                        <a:ext cx="7559675" cy="10194554"/>
                      </a:xfrm>
                      <a:custGeom>
                        <a:avLst/>
                        <a:gdLst>
                          <a:gd name="connsiteX0" fmla="*/ 215837 w 7559675"/>
                          <a:gd name="connsiteY0" fmla="*/ 1488141 h 10194554"/>
                          <a:gd name="connsiteX1" fmla="*/ 215837 w 7559675"/>
                          <a:gd name="connsiteY1" fmla="*/ 10152448 h 10194554"/>
                          <a:gd name="connsiteX2" fmla="*/ 0 w 7559675"/>
                          <a:gd name="connsiteY2" fmla="*/ 10194554 h 10194554"/>
                          <a:gd name="connsiteX3" fmla="*/ 0 w 7559675"/>
                          <a:gd name="connsiteY3" fmla="*/ 1603031 h 10194554"/>
                          <a:gd name="connsiteX4" fmla="*/ 0 w 7559675"/>
                          <a:gd name="connsiteY4" fmla="*/ 0 h 10194554"/>
                          <a:gd name="connsiteX5" fmla="*/ 7559675 w 7559675"/>
                          <a:gd name="connsiteY5" fmla="*/ 0 h 10194554"/>
                          <a:gd name="connsiteX6" fmla="*/ 7559675 w 7559675"/>
                          <a:gd name="connsiteY6" fmla="*/ 8719795 h 10194554"/>
                          <a:gd name="connsiteX7" fmla="*/ 7343837 w 7559675"/>
                          <a:gd name="connsiteY7" fmla="*/ 8761901 h 10194554"/>
                          <a:gd name="connsiteX8" fmla="*/ 7343837 w 7559675"/>
                          <a:gd name="connsiteY8" fmla="*/ 215906 h 10194554"/>
                          <a:gd name="connsiteX9" fmla="*/ 2605910 w 7559675"/>
                          <a:gd name="connsiteY9" fmla="*/ 215906 h 10194554"/>
                          <a:gd name="connsiteX10" fmla="*/ 3008625 w 7559675"/>
                          <a:gd name="connsiteY10" fmla="*/ 1541 h 10194554"/>
                          <a:gd name="connsiteX11" fmla="*/ 0 w 7559675"/>
                          <a:gd name="connsiteY11" fmla="*/ 1541 h 101945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7559675" h="10194554">
                            <a:moveTo>
                              <a:pt x="215837" y="1488141"/>
                            </a:moveTo>
                            <a:lnTo>
                              <a:pt x="215837" y="10152448"/>
                            </a:lnTo>
                            <a:lnTo>
                              <a:pt x="0" y="10194554"/>
                            </a:lnTo>
                            <a:lnTo>
                              <a:pt x="0" y="1603031"/>
                            </a:lnTo>
                            <a:close/>
                            <a:moveTo>
                              <a:pt x="0" y="0"/>
                            </a:moveTo>
                            <a:lnTo>
                              <a:pt x="7559675" y="0"/>
                            </a:lnTo>
                            <a:lnTo>
                              <a:pt x="7559675" y="8719795"/>
                            </a:lnTo>
                            <a:lnTo>
                              <a:pt x="7343837" y="8761901"/>
                            </a:lnTo>
                            <a:lnTo>
                              <a:pt x="7343837" y="215906"/>
                            </a:lnTo>
                            <a:lnTo>
                              <a:pt x="2605910" y="215906"/>
                            </a:lnTo>
                            <a:lnTo>
                              <a:pt x="3008625" y="1541"/>
                            </a:lnTo>
                            <a:lnTo>
                              <a:pt x="0" y="1541"/>
                            </a:lnTo>
                            <a:close/>
                          </a:path>
                        </a:pathLst>
                      </a:custGeom>
                      <a:gradFill flip="none" rotWithShape="1">
                        <a:gsLst>
                          <a:gs pos="0">
                            <a:schemeClr val="accent4"/>
                          </a:gs>
                          <a:gs pos="50000">
                            <a:schemeClr val="accent5"/>
                          </a:gs>
                          <a:gs pos="100000">
                            <a:schemeClr val="accent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anchor>
          </w:drawing>
        </mc:Choice>
        <mc:Fallback xmlns:a="http://schemas.openxmlformats.org/drawingml/2006/main" xmlns:pic="http://schemas.openxmlformats.org/drawingml/2006/picture" xmlns:a14="http://schemas.microsoft.com/office/drawing/2010/main" xmlns:w16sdtfl="http://schemas.microsoft.com/office/word/2024/wordml/sdtformatlock" xmlns:w16du="http://schemas.microsoft.com/office/word/2023/wordml/word16du">
          <w:pict>
            <v:shape id="Freeform: Shape 1" style="position:absolute;margin-left:0;margin-top:-28.5pt;width:595.25pt;height:802.7pt;z-index:251670528;visibility:visible;mso-wrap-style:square;mso-wrap-distance-left:9pt;mso-wrap-distance-top:0;mso-wrap-distance-right:9pt;mso-wrap-distance-bottom:0;mso-position-horizontal:left;mso-position-horizontal-relative:page;mso-position-vertical:absolute;mso-position-vertical-relative:text;v-text-anchor:middle" coordsize="7559675,10194554" o:spid="_x0000_s1026" fillcolor="#67b9b0 [3207]" stroked="f" strokeweight="1pt" path="m215837,1488141r,8664307l,10194554,,1603031,215837,1488141xm,l7559675,r,8719795l7343837,8761901r,-8545995l2605910,215906,3008625,1541,,154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" w14:anchorId="4A31669D">
              <v:fill type="gradient" color2="#17428c [3204]" colors="0 #67b9b0;.5 #219cdc;1 #17428c" angle="90" focus="100%" rotate="t"/>
              <v:stroke joinstyle="miter"/>
              <v:path arrowok="t" o:connecttype="custom" o:connectlocs="215837,1488141;215837,10152448;0,10194554;0,1603031;0,0;7559675,0;7559675,8719795;7343837,8761901;7343837,215906;2605910,215906;3008625,1541;0,1541" o:connectangles="0,0,0,0,0,0,0,0,0,0,0,0"/>
              <w10:wrap anchorx="page"/>
            </v:shape>
          </w:pict>
        </mc:Fallback>
      </mc:AlternateContent>
    </w:r>
    <w:r w:rsidR="004E2481">
      <w:rPr>
        <w:b/>
        <w:bCs/>
        <w:noProof/>
        <w:sz w:val="28"/>
        <w:szCs w:val="28"/>
        <w:lang w:val="fr-FR"/>
        <w14:textFill>
          <w14:gradFill>
            <w14:gsLst>
              <w14:gs w14:pos="0">
                <w14:schemeClr w14:val="accent4"/>
              </w14:gs>
              <w14:gs w14:pos="50000">
                <w14:schemeClr w14:val="accent5"/>
              </w14:gs>
              <w14:gs w14:pos="100000">
                <w14:schemeClr w14:val="accent1"/>
              </w14:gs>
            </w14:gsLst>
            <w14:lin w14:ang="0" w14:scaled="0"/>
          </w14:gradFill>
        </w14:textFill>
      </w:rPr>
      <w:t>B</w:t>
    </w:r>
    <w:r w:rsidR="00562382">
      <w:rPr>
        <w:b/>
        <w:bCs/>
        <w:noProof/>
        <w:sz w:val="28"/>
        <w:szCs w:val="28"/>
        <w:lang w:val="fr-FR"/>
        <w14:textFill>
          <w14:gradFill>
            <w14:gsLst>
              <w14:gs w14:pos="0">
                <w14:schemeClr w14:val="accent4"/>
              </w14:gs>
              <w14:gs w14:pos="50000">
                <w14:schemeClr w14:val="accent5"/>
              </w14:gs>
              <w14:gs w14:pos="100000">
                <w14:schemeClr w14:val="accent1"/>
              </w14:gs>
            </w14:gsLst>
            <w14:lin w14:ang="0" w14:scaled="0"/>
          </w14:gradFill>
        </w14:textFill>
      </w:rPr>
      <w:t xml:space="preserve">ASIN </w:t>
    </w:r>
  </w:p>
  <w:p w14:paraId="66312502" w14:textId="6E71679E" w:rsidR="00687686" w:rsidRPr="00687686" w:rsidRDefault="00562382" w:rsidP="00687686">
    <w:pPr>
      <w:pStyle w:val="Header"/>
      <w:tabs>
        <w:tab w:val="clear" w:pos="4680"/>
        <w:tab w:val="clear" w:pos="9360"/>
        <w:tab w:val="left" w:pos="5745"/>
      </w:tabs>
      <w:ind w:left="-567"/>
      <w:rPr>
        <w:b/>
        <w:bCs/>
        <w:noProof/>
        <w:color w:val="17428C" w:themeColor="accent1"/>
        <w:sz w:val="40"/>
        <w:szCs w:val="40"/>
        <w:lang w:val="fr-FR"/>
      </w:rPr>
    </w:pPr>
    <w:r>
      <w:rPr>
        <w:b/>
        <w:bCs/>
        <w:noProof/>
        <w:sz w:val="28"/>
        <w:szCs w:val="28"/>
        <w:lang w:val="fr-FR"/>
        <w14:textFill>
          <w14:gradFill>
            <w14:gsLst>
              <w14:gs w14:pos="0">
                <w14:schemeClr w14:val="accent4"/>
              </w14:gs>
              <w14:gs w14:pos="50000">
                <w14:schemeClr w14:val="accent5"/>
              </w14:gs>
              <w14:gs w14:pos="100000">
                <w14:schemeClr w14:val="accent1"/>
              </w14:gs>
            </w14:gsLst>
            <w14:lin w14:ang="0" w14:scaled="0"/>
          </w14:gradFill>
        </w14:textFill>
      </w:rPr>
      <w:t>BÜLTENİ</w:t>
    </w:r>
  </w:p>
  <w:p w14:paraId="06B02D99" w14:textId="799D568D" w:rsidR="00687686" w:rsidRPr="00687686" w:rsidRDefault="00196943" w:rsidP="00687686">
    <w:pPr>
      <w:pStyle w:val="Header"/>
      <w:ind w:left="-567"/>
      <w:rPr>
        <w:lang w:val="fr-FR"/>
      </w:rPr>
    </w:pPr>
    <w:r>
      <w:rPr>
        <w:color w:val="17428C" w:themeColor="accent1"/>
        <w:sz w:val="24"/>
        <w:szCs w:val="24"/>
        <w:lang w:val="fr-FR"/>
      </w:rPr>
      <w:t>1</w:t>
    </w:r>
    <w:r w:rsidR="004F6DB9">
      <w:rPr>
        <w:color w:val="17428C" w:themeColor="accent1"/>
        <w:sz w:val="24"/>
        <w:szCs w:val="24"/>
        <w:lang w:val="fr-FR"/>
      </w:rPr>
      <w:t>6</w:t>
    </w:r>
    <w:r w:rsidR="00336847">
      <w:rPr>
        <w:color w:val="17428C" w:themeColor="accent1"/>
        <w:sz w:val="24"/>
        <w:szCs w:val="24"/>
        <w:lang w:val="fr-FR"/>
      </w:rPr>
      <w:t xml:space="preserve"> Ocak </w:t>
    </w:r>
    <w:r w:rsidR="00687686" w:rsidRPr="00687686">
      <w:rPr>
        <w:color w:val="17428C" w:themeColor="accent1"/>
        <w:sz w:val="24"/>
        <w:szCs w:val="24"/>
        <w:lang w:val="fr-FR"/>
      </w:rPr>
      <w:t>202</w:t>
    </w:r>
    <w:r w:rsidR="00336847">
      <w:rPr>
        <w:color w:val="17428C" w:themeColor="accent1"/>
        <w:sz w:val="24"/>
        <w:szCs w:val="24"/>
        <w:lang w:val="fr-FR"/>
      </w:rPr>
      <w:t>6</w:t>
    </w:r>
  </w:p>
  <w:p w14:paraId="7475479D" w14:textId="2FD203CD" w:rsidR="006B5242" w:rsidRPr="00904F34" w:rsidRDefault="006B5242" w:rsidP="00687686">
    <w:pPr>
      <w:pStyle w:val="Header"/>
      <w:tabs>
        <w:tab w:val="clear" w:pos="4680"/>
        <w:tab w:val="clear" w:pos="9360"/>
        <w:tab w:val="left" w:pos="2025"/>
        <w:tab w:val="left" w:pos="4545"/>
      </w:tabs>
      <w:spacing w:after="120"/>
      <w:ind w:left="-567"/>
      <w:rPr>
        <w:lang w:val="fr-F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41491" w14:textId="601D399D" w:rsidR="00D135D6" w:rsidRPr="00904F34" w:rsidRDefault="003E687E" w:rsidP="00E319CA">
    <w:pPr>
      <w:pStyle w:val="Header"/>
      <w:tabs>
        <w:tab w:val="clear" w:pos="4680"/>
        <w:tab w:val="clear" w:pos="9360"/>
        <w:tab w:val="left" w:pos="5745"/>
      </w:tabs>
      <w:ind w:left="-567"/>
      <w:rPr>
        <w:b/>
        <w:bCs/>
        <w:noProof/>
        <w:sz w:val="28"/>
        <w:szCs w:val="28"/>
        <w:lang w:val="fr-FR"/>
        <w14:textFill>
          <w14:gradFill>
            <w14:gsLst>
              <w14:gs w14:pos="0">
                <w14:schemeClr w14:val="accent4"/>
              </w14:gs>
              <w14:gs w14:pos="50000">
                <w14:schemeClr w14:val="accent5"/>
              </w14:gs>
              <w14:gs w14:pos="100000">
                <w14:schemeClr w14:val="accent1"/>
              </w14:gs>
            </w14:gsLst>
            <w14:lin w14:ang="0" w14:scaled="0"/>
          </w14:gradFill>
        </w14:textFill>
      </w:rPr>
    </w:pPr>
    <w:r>
      <w:rPr>
        <w:b/>
        <w:bCs/>
        <w:noProof/>
        <w:sz w:val="28"/>
        <w:szCs w:val="28"/>
      </w:rPr>
      <w:drawing>
        <wp:anchor distT="0" distB="0" distL="114300" distR="114300" simplePos="0" relativeHeight="251662336" behindDoc="0" locked="0" layoutInCell="1" allowOverlap="1" wp14:anchorId="31D5FF31" wp14:editId="40ED085E">
          <wp:simplePos x="0" y="0"/>
          <wp:positionH relativeFrom="column">
            <wp:posOffset>4303172</wp:posOffset>
          </wp:positionH>
          <wp:positionV relativeFrom="paragraph">
            <wp:posOffset>150594</wp:posOffset>
          </wp:positionV>
          <wp:extent cx="1687830" cy="704215"/>
          <wp:effectExtent l="0" t="0" r="7620" b="635"/>
          <wp:wrapNone/>
          <wp:docPr id="755820177" name="Picture 755820177" descr="A logo with a city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20081" name="Picture 755820081" descr="A logo with a city silhouette&#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7830" cy="704215"/>
                  </a:xfrm>
                  <a:prstGeom prst="rect">
                    <a:avLst/>
                  </a:prstGeom>
                  <a:noFill/>
                  <a:ln>
                    <a:noFill/>
                  </a:ln>
                </pic:spPr>
              </pic:pic>
            </a:graphicData>
          </a:graphic>
        </wp:anchor>
      </w:drawing>
    </w:r>
    <w:r w:rsidR="006F2B82" w:rsidRPr="006F2B82">
      <w:rPr>
        <w:b/>
        <w:bCs/>
        <w:noProof/>
        <w:sz w:val="28"/>
        <w:szCs w:val="28"/>
        <w14:textFill>
          <w14:gradFill>
            <w14:gsLst>
              <w14:gs w14:pos="0">
                <w14:schemeClr w14:val="accent4"/>
              </w14:gs>
              <w14:gs w14:pos="50000">
                <w14:schemeClr w14:val="accent5"/>
              </w14:gs>
              <w14:gs w14:pos="100000">
                <w14:schemeClr w14:val="accent1"/>
              </w14:gs>
            </w14:gsLst>
            <w14:lin w14:ang="0" w14:scaled="0"/>
          </w14:gradFill>
        </w14:textFill>
      </w:rPr>
      <mc:AlternateContent>
        <mc:Choice Requires="wps">
          <w:drawing>
            <wp:anchor distT="0" distB="0" distL="114300" distR="114300" simplePos="0" relativeHeight="251668480" behindDoc="0" locked="0" layoutInCell="1" allowOverlap="1" wp14:anchorId="69556025" wp14:editId="5C3816B2">
              <wp:simplePos x="0" y="0"/>
              <wp:positionH relativeFrom="page">
                <wp:align>left</wp:align>
              </wp:positionH>
              <wp:positionV relativeFrom="paragraph">
                <wp:posOffset>-361950</wp:posOffset>
              </wp:positionV>
              <wp:extent cx="7559675" cy="10194554"/>
              <wp:effectExtent l="0" t="0" r="3175" b="0"/>
              <wp:wrapNone/>
              <wp:docPr id="2" name="Freeform: Shape 1">
                <a:extLst xmlns:a="http://schemas.openxmlformats.org/drawingml/2006/main">
                  <a:ext uri="{FF2B5EF4-FFF2-40B4-BE49-F238E27FC236}">
                    <a16:creationId xmlns:a16="http://schemas.microsoft.com/office/drawing/2014/main" id="{2DE0B375-9CF8-FEE5-7466-F54F61ED7CA8}"/>
                  </a:ext>
                </a:extLst>
              </wp:docPr>
              <wp:cNvGraphicFramePr/>
              <a:graphic xmlns:a="http://schemas.openxmlformats.org/drawingml/2006/main">
                <a:graphicData uri="http://schemas.microsoft.com/office/word/2010/wordprocessingShape">
                  <wps:wsp>
                    <wps:cNvSpPr/>
                    <wps:spPr>
                      <a:xfrm>
                        <a:off x="0" y="0"/>
                        <a:ext cx="7559675" cy="10194554"/>
                      </a:xfrm>
                      <a:custGeom>
                        <a:avLst/>
                        <a:gdLst>
                          <a:gd name="connsiteX0" fmla="*/ 215837 w 7559675"/>
                          <a:gd name="connsiteY0" fmla="*/ 1488141 h 10194554"/>
                          <a:gd name="connsiteX1" fmla="*/ 215837 w 7559675"/>
                          <a:gd name="connsiteY1" fmla="*/ 10152448 h 10194554"/>
                          <a:gd name="connsiteX2" fmla="*/ 0 w 7559675"/>
                          <a:gd name="connsiteY2" fmla="*/ 10194554 h 10194554"/>
                          <a:gd name="connsiteX3" fmla="*/ 0 w 7559675"/>
                          <a:gd name="connsiteY3" fmla="*/ 1603031 h 10194554"/>
                          <a:gd name="connsiteX4" fmla="*/ 0 w 7559675"/>
                          <a:gd name="connsiteY4" fmla="*/ 0 h 10194554"/>
                          <a:gd name="connsiteX5" fmla="*/ 7559675 w 7559675"/>
                          <a:gd name="connsiteY5" fmla="*/ 0 h 10194554"/>
                          <a:gd name="connsiteX6" fmla="*/ 7559675 w 7559675"/>
                          <a:gd name="connsiteY6" fmla="*/ 8719795 h 10194554"/>
                          <a:gd name="connsiteX7" fmla="*/ 7343837 w 7559675"/>
                          <a:gd name="connsiteY7" fmla="*/ 8761901 h 10194554"/>
                          <a:gd name="connsiteX8" fmla="*/ 7343837 w 7559675"/>
                          <a:gd name="connsiteY8" fmla="*/ 215906 h 10194554"/>
                          <a:gd name="connsiteX9" fmla="*/ 2605910 w 7559675"/>
                          <a:gd name="connsiteY9" fmla="*/ 215906 h 10194554"/>
                          <a:gd name="connsiteX10" fmla="*/ 3008625 w 7559675"/>
                          <a:gd name="connsiteY10" fmla="*/ 1541 h 10194554"/>
                          <a:gd name="connsiteX11" fmla="*/ 0 w 7559675"/>
                          <a:gd name="connsiteY11" fmla="*/ 1541 h 101945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7559675" h="10194554">
                            <a:moveTo>
                              <a:pt x="215837" y="1488141"/>
                            </a:moveTo>
                            <a:lnTo>
                              <a:pt x="215837" y="10152448"/>
                            </a:lnTo>
                            <a:lnTo>
                              <a:pt x="0" y="10194554"/>
                            </a:lnTo>
                            <a:lnTo>
                              <a:pt x="0" y="1603031"/>
                            </a:lnTo>
                            <a:close/>
                            <a:moveTo>
                              <a:pt x="0" y="0"/>
                            </a:moveTo>
                            <a:lnTo>
                              <a:pt x="7559675" y="0"/>
                            </a:lnTo>
                            <a:lnTo>
                              <a:pt x="7559675" y="8719795"/>
                            </a:lnTo>
                            <a:lnTo>
                              <a:pt x="7343837" y="8761901"/>
                            </a:lnTo>
                            <a:lnTo>
                              <a:pt x="7343837" y="215906"/>
                            </a:lnTo>
                            <a:lnTo>
                              <a:pt x="2605910" y="215906"/>
                            </a:lnTo>
                            <a:lnTo>
                              <a:pt x="3008625" y="1541"/>
                            </a:lnTo>
                            <a:lnTo>
                              <a:pt x="0" y="1541"/>
                            </a:lnTo>
                            <a:close/>
                          </a:path>
                        </a:pathLst>
                      </a:custGeom>
                      <a:gradFill flip="none" rotWithShape="1">
                        <a:gsLst>
                          <a:gs pos="0">
                            <a:schemeClr val="accent4"/>
                          </a:gs>
                          <a:gs pos="50000">
                            <a:schemeClr val="accent5"/>
                          </a:gs>
                          <a:gs pos="100000">
                            <a:schemeClr val="accent1"/>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w16sdtfl="http://schemas.microsoft.com/office/word/2024/wordml/sdtformatlock" xmlns:w16du="http://schemas.microsoft.com/office/word/2023/wordml/word16du">
          <w:pict>
            <v:shape id="Freeform: Shape 1" style="position:absolute;margin-left:0;margin-top:-28.5pt;width:595.25pt;height:802.7pt;z-index:251668480;visibility:visible;mso-wrap-style:square;mso-wrap-distance-left:9pt;mso-wrap-distance-top:0;mso-wrap-distance-right:9pt;mso-wrap-distance-bottom:0;mso-position-horizontal:left;mso-position-horizontal-relative:page;mso-position-vertical:absolute;mso-position-vertical-relative:text;v-text-anchor:middle" coordsize="7559675,10194554" o:spid="_x0000_s1026" fillcolor="#67b9b0 [3207]" stroked="f" strokeweight="1pt" path="m215837,1488141r,8664307l,10194554,,1603031,215837,1488141xm,l7559675,r,8719795l7343837,8761901r,-8545995l2605910,215906,3008625,1541,,154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" w14:anchorId="174762A5">
              <v:fill type="gradient" color2="#17428c [3204]" colors="0 #67b9b0;.5 #219cdc;1 #17428c" angle="90" focus="100%" rotate="t"/>
              <v:stroke joinstyle="miter"/>
              <v:path arrowok="t" o:connecttype="custom" o:connectlocs="215837,1488141;215837,10152448;0,10194554;0,1603031;0,0;7559675,0;7559675,8719795;7343837,8761901;7343837,215906;2605910,215906;3008625,1541;0,1541" o:connectangles="0,0,0,0,0,0,0,0,0,0,0,0"/>
              <w10:wrap anchorx="page"/>
            </v:shape>
          </w:pict>
        </mc:Fallback>
      </mc:AlternateContent>
    </w:r>
    <w:r w:rsidR="00D135D6" w:rsidRPr="00904F34">
      <w:rPr>
        <w:b/>
        <w:bCs/>
        <w:noProof/>
        <w:sz w:val="28"/>
        <w:szCs w:val="28"/>
        <w:lang w:val="fr-FR"/>
        <w14:textFill>
          <w14:gradFill>
            <w14:gsLst>
              <w14:gs w14:pos="0">
                <w14:schemeClr w14:val="accent4"/>
              </w14:gs>
              <w14:gs w14:pos="50000">
                <w14:schemeClr w14:val="accent5"/>
              </w14:gs>
              <w14:gs w14:pos="100000">
                <w14:schemeClr w14:val="accent1"/>
              </w14:gs>
            </w14:gsLst>
            <w14:lin w14:ang="0" w14:scaled="0"/>
          </w14:gradFill>
        </w14:textFill>
      </w:rPr>
      <w:t>COMMUNIQUÉ</w:t>
    </w:r>
    <w:r w:rsidR="00E319CA" w:rsidRPr="00904F34">
      <w:rPr>
        <w:b/>
        <w:bCs/>
        <w:noProof/>
        <w:sz w:val="28"/>
        <w:szCs w:val="28"/>
        <w:lang w:val="fr-FR"/>
        <w14:textFill>
          <w14:gradFill>
            <w14:gsLst>
              <w14:gs w14:pos="0">
                <w14:schemeClr w14:val="accent4"/>
              </w14:gs>
              <w14:gs w14:pos="50000">
                <w14:schemeClr w14:val="accent5"/>
              </w14:gs>
              <w14:gs w14:pos="100000">
                <w14:schemeClr w14:val="accent1"/>
              </w14:gs>
            </w14:gsLst>
            <w14:lin w14:ang="0" w14:scaled="0"/>
          </w14:gradFill>
        </w14:textFill>
      </w:rPr>
      <w:tab/>
    </w:r>
  </w:p>
  <w:p w14:paraId="45258CF2" w14:textId="4151E4D1" w:rsidR="00D135D6" w:rsidRPr="00904F34" w:rsidRDefault="00D135D6" w:rsidP="00D135D6">
    <w:pPr>
      <w:pStyle w:val="Header"/>
      <w:tabs>
        <w:tab w:val="clear" w:pos="4680"/>
        <w:tab w:val="clear" w:pos="9360"/>
        <w:tab w:val="left" w:pos="2025"/>
        <w:tab w:val="left" w:pos="4545"/>
      </w:tabs>
      <w:spacing w:after="120"/>
      <w:ind w:left="-567"/>
      <w:rPr>
        <w:b/>
        <w:bCs/>
        <w:noProof/>
        <w:sz w:val="28"/>
        <w:szCs w:val="28"/>
        <w:lang w:val="fr-FR"/>
        <w14:textFill>
          <w14:gradFill>
            <w14:gsLst>
              <w14:gs w14:pos="0">
                <w14:schemeClr w14:val="accent4"/>
              </w14:gs>
              <w14:gs w14:pos="50000">
                <w14:schemeClr w14:val="accent5"/>
              </w14:gs>
              <w14:gs w14:pos="100000">
                <w14:schemeClr w14:val="accent1"/>
              </w14:gs>
            </w14:gsLst>
            <w14:lin w14:ang="0" w14:scaled="0"/>
          </w14:gradFill>
        </w14:textFill>
      </w:rPr>
    </w:pPr>
    <w:r w:rsidRPr="00904F34">
      <w:rPr>
        <w:b/>
        <w:bCs/>
        <w:noProof/>
        <w:sz w:val="28"/>
        <w:szCs w:val="28"/>
        <w:lang w:val="fr-FR"/>
        <w14:textFill>
          <w14:gradFill>
            <w14:gsLst>
              <w14:gs w14:pos="0">
                <w14:schemeClr w14:val="accent4"/>
              </w14:gs>
              <w14:gs w14:pos="50000">
                <w14:schemeClr w14:val="accent5"/>
              </w14:gs>
              <w14:gs w14:pos="100000">
                <w14:schemeClr w14:val="accent1"/>
              </w14:gs>
            </w14:gsLst>
            <w14:lin w14:ang="0" w14:scaled="0"/>
          </w14:gradFill>
        </w14:textFill>
      </w:rPr>
      <w:t>DE PRESSE</w:t>
    </w:r>
  </w:p>
  <w:p w14:paraId="0BCBB615" w14:textId="33567E77" w:rsidR="005D111C" w:rsidRPr="00904F34" w:rsidRDefault="00D135D6" w:rsidP="00D135D6">
    <w:pPr>
      <w:pStyle w:val="Header"/>
      <w:tabs>
        <w:tab w:val="clear" w:pos="4680"/>
        <w:tab w:val="clear" w:pos="9360"/>
        <w:tab w:val="left" w:pos="2025"/>
        <w:tab w:val="left" w:pos="4545"/>
      </w:tabs>
      <w:ind w:left="-567"/>
      <w:rPr>
        <w:lang w:val="fr-FR"/>
      </w:rPr>
    </w:pPr>
    <w:r w:rsidRPr="00904F34">
      <w:rPr>
        <w:color w:val="17428C" w:themeColor="accent1"/>
        <w:sz w:val="24"/>
        <w:szCs w:val="24"/>
        <w:lang w:val="fr-FR"/>
      </w:rPr>
      <w:t>XX Janvier XXXX à XXhXX</w:t>
    </w:r>
    <w:r w:rsidR="007B3273" w:rsidRPr="00904F34">
      <w:rPr>
        <w:lang w:val="fr-FR"/>
      </w:rPr>
      <w:tab/>
    </w:r>
    <w:r w:rsidR="007B3273" w:rsidRPr="00904F34">
      <w:rPr>
        <w:lang w:val="fr-FR"/>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62EF0"/>
    <w:multiLevelType w:val="multilevel"/>
    <w:tmpl w:val="D9203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6A26C7"/>
    <w:multiLevelType w:val="multilevel"/>
    <w:tmpl w:val="D3B0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1E0AF7"/>
    <w:multiLevelType w:val="hybridMultilevel"/>
    <w:tmpl w:val="93F468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2D650B9"/>
    <w:multiLevelType w:val="hybridMultilevel"/>
    <w:tmpl w:val="FEEE94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78A54C52"/>
    <w:multiLevelType w:val="hybridMultilevel"/>
    <w:tmpl w:val="FFFFFFFF"/>
    <w:lvl w:ilvl="0" w:tplc="75BE8A04">
      <w:start w:val="1"/>
      <w:numFmt w:val="bullet"/>
      <w:lvlText w:val=""/>
      <w:lvlJc w:val="left"/>
      <w:pPr>
        <w:ind w:left="720" w:hanging="360"/>
      </w:pPr>
      <w:rPr>
        <w:rFonts w:ascii="Symbol" w:hAnsi="Symbol" w:hint="default"/>
      </w:rPr>
    </w:lvl>
    <w:lvl w:ilvl="1" w:tplc="25D4B994">
      <w:start w:val="1"/>
      <w:numFmt w:val="bullet"/>
      <w:lvlText w:val="o"/>
      <w:lvlJc w:val="left"/>
      <w:pPr>
        <w:ind w:left="1440" w:hanging="360"/>
      </w:pPr>
      <w:rPr>
        <w:rFonts w:ascii="Courier New" w:hAnsi="Courier New" w:hint="default"/>
      </w:rPr>
    </w:lvl>
    <w:lvl w:ilvl="2" w:tplc="F7A66040">
      <w:start w:val="1"/>
      <w:numFmt w:val="bullet"/>
      <w:lvlText w:val=""/>
      <w:lvlJc w:val="left"/>
      <w:pPr>
        <w:ind w:left="2160" w:hanging="360"/>
      </w:pPr>
      <w:rPr>
        <w:rFonts w:ascii="Wingdings" w:hAnsi="Wingdings" w:hint="default"/>
      </w:rPr>
    </w:lvl>
    <w:lvl w:ilvl="3" w:tplc="16C8547A">
      <w:start w:val="1"/>
      <w:numFmt w:val="bullet"/>
      <w:lvlText w:val=""/>
      <w:lvlJc w:val="left"/>
      <w:pPr>
        <w:ind w:left="2880" w:hanging="360"/>
      </w:pPr>
      <w:rPr>
        <w:rFonts w:ascii="Symbol" w:hAnsi="Symbol" w:hint="default"/>
      </w:rPr>
    </w:lvl>
    <w:lvl w:ilvl="4" w:tplc="486CE99C">
      <w:start w:val="1"/>
      <w:numFmt w:val="bullet"/>
      <w:lvlText w:val="o"/>
      <w:lvlJc w:val="left"/>
      <w:pPr>
        <w:ind w:left="3600" w:hanging="360"/>
      </w:pPr>
      <w:rPr>
        <w:rFonts w:ascii="Courier New" w:hAnsi="Courier New" w:hint="default"/>
      </w:rPr>
    </w:lvl>
    <w:lvl w:ilvl="5" w:tplc="CB261C6C">
      <w:start w:val="1"/>
      <w:numFmt w:val="bullet"/>
      <w:lvlText w:val=""/>
      <w:lvlJc w:val="left"/>
      <w:pPr>
        <w:ind w:left="4320" w:hanging="360"/>
      </w:pPr>
      <w:rPr>
        <w:rFonts w:ascii="Wingdings" w:hAnsi="Wingdings" w:hint="default"/>
      </w:rPr>
    </w:lvl>
    <w:lvl w:ilvl="6" w:tplc="B7F6CD8E">
      <w:start w:val="1"/>
      <w:numFmt w:val="bullet"/>
      <w:lvlText w:val=""/>
      <w:lvlJc w:val="left"/>
      <w:pPr>
        <w:ind w:left="5040" w:hanging="360"/>
      </w:pPr>
      <w:rPr>
        <w:rFonts w:ascii="Symbol" w:hAnsi="Symbol" w:hint="default"/>
      </w:rPr>
    </w:lvl>
    <w:lvl w:ilvl="7" w:tplc="433CC2CC">
      <w:start w:val="1"/>
      <w:numFmt w:val="bullet"/>
      <w:lvlText w:val="o"/>
      <w:lvlJc w:val="left"/>
      <w:pPr>
        <w:ind w:left="5760" w:hanging="360"/>
      </w:pPr>
      <w:rPr>
        <w:rFonts w:ascii="Courier New" w:hAnsi="Courier New" w:hint="default"/>
      </w:rPr>
    </w:lvl>
    <w:lvl w:ilvl="8" w:tplc="896A51CC">
      <w:start w:val="1"/>
      <w:numFmt w:val="bullet"/>
      <w:lvlText w:val=""/>
      <w:lvlJc w:val="left"/>
      <w:pPr>
        <w:ind w:left="6480" w:hanging="360"/>
      </w:pPr>
      <w:rPr>
        <w:rFonts w:ascii="Wingdings" w:hAnsi="Wingdings" w:hint="default"/>
      </w:rPr>
    </w:lvl>
  </w:abstractNum>
  <w:num w:numId="1" w16cid:durableId="240869348">
    <w:abstractNumId w:val="4"/>
  </w:num>
  <w:num w:numId="2" w16cid:durableId="1878615281">
    <w:abstractNumId w:val="3"/>
  </w:num>
  <w:num w:numId="3" w16cid:durableId="1604802923">
    <w:abstractNumId w:val="2"/>
  </w:num>
  <w:num w:numId="4" w16cid:durableId="302931475">
    <w:abstractNumId w:val="0"/>
  </w:num>
  <w:num w:numId="5" w16cid:durableId="933126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1985"/>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DF8"/>
    <w:rsid w:val="00022C17"/>
    <w:rsid w:val="00024BAF"/>
    <w:rsid w:val="000464FA"/>
    <w:rsid w:val="00067728"/>
    <w:rsid w:val="0009269A"/>
    <w:rsid w:val="000B65D0"/>
    <w:rsid w:val="000B6694"/>
    <w:rsid w:val="000C12B1"/>
    <w:rsid w:val="000C7B22"/>
    <w:rsid w:val="000D2286"/>
    <w:rsid w:val="000D2398"/>
    <w:rsid w:val="000D275F"/>
    <w:rsid w:val="000D5980"/>
    <w:rsid w:val="000E4C8E"/>
    <w:rsid w:val="000E4F41"/>
    <w:rsid w:val="000E5446"/>
    <w:rsid w:val="000E57AA"/>
    <w:rsid w:val="00111786"/>
    <w:rsid w:val="0011314B"/>
    <w:rsid w:val="001241CC"/>
    <w:rsid w:val="00125F9A"/>
    <w:rsid w:val="00134056"/>
    <w:rsid w:val="00161B27"/>
    <w:rsid w:val="00167EBE"/>
    <w:rsid w:val="00177A27"/>
    <w:rsid w:val="00195E99"/>
    <w:rsid w:val="00196943"/>
    <w:rsid w:val="001C31FB"/>
    <w:rsid w:val="001E33FB"/>
    <w:rsid w:val="001F5E0A"/>
    <w:rsid w:val="0022464C"/>
    <w:rsid w:val="00225C40"/>
    <w:rsid w:val="00243384"/>
    <w:rsid w:val="0025692D"/>
    <w:rsid w:val="002604C1"/>
    <w:rsid w:val="00274118"/>
    <w:rsid w:val="002A26BC"/>
    <w:rsid w:val="002B36C2"/>
    <w:rsid w:val="002C0B79"/>
    <w:rsid w:val="002D29B8"/>
    <w:rsid w:val="002D76DD"/>
    <w:rsid w:val="002E044D"/>
    <w:rsid w:val="002F0501"/>
    <w:rsid w:val="00303EBD"/>
    <w:rsid w:val="00304B3F"/>
    <w:rsid w:val="0031507D"/>
    <w:rsid w:val="0032104F"/>
    <w:rsid w:val="00321942"/>
    <w:rsid w:val="003227DA"/>
    <w:rsid w:val="00331C7A"/>
    <w:rsid w:val="00336847"/>
    <w:rsid w:val="0033753E"/>
    <w:rsid w:val="003459D4"/>
    <w:rsid w:val="00362B4E"/>
    <w:rsid w:val="00365BE8"/>
    <w:rsid w:val="00372E4D"/>
    <w:rsid w:val="003856B9"/>
    <w:rsid w:val="00393F97"/>
    <w:rsid w:val="00394370"/>
    <w:rsid w:val="003C7771"/>
    <w:rsid w:val="003D4E19"/>
    <w:rsid w:val="003E0967"/>
    <w:rsid w:val="003E52EE"/>
    <w:rsid w:val="003E687E"/>
    <w:rsid w:val="00407830"/>
    <w:rsid w:val="00415A86"/>
    <w:rsid w:val="004361D3"/>
    <w:rsid w:val="00444E71"/>
    <w:rsid w:val="00460CCC"/>
    <w:rsid w:val="004629AA"/>
    <w:rsid w:val="00462B52"/>
    <w:rsid w:val="00475D84"/>
    <w:rsid w:val="00477ECB"/>
    <w:rsid w:val="004D60D5"/>
    <w:rsid w:val="004E07FB"/>
    <w:rsid w:val="004E2481"/>
    <w:rsid w:val="004F6DB9"/>
    <w:rsid w:val="0050188C"/>
    <w:rsid w:val="00505DB5"/>
    <w:rsid w:val="00507254"/>
    <w:rsid w:val="00515C5E"/>
    <w:rsid w:val="00537B34"/>
    <w:rsid w:val="00542CDB"/>
    <w:rsid w:val="00544019"/>
    <w:rsid w:val="0054661F"/>
    <w:rsid w:val="00555CED"/>
    <w:rsid w:val="00562382"/>
    <w:rsid w:val="0056654A"/>
    <w:rsid w:val="00584332"/>
    <w:rsid w:val="005908B8"/>
    <w:rsid w:val="005A3D76"/>
    <w:rsid w:val="005B3361"/>
    <w:rsid w:val="005B3DA4"/>
    <w:rsid w:val="005D0E6D"/>
    <w:rsid w:val="005D111C"/>
    <w:rsid w:val="005D7CA9"/>
    <w:rsid w:val="005F68FF"/>
    <w:rsid w:val="00605C5A"/>
    <w:rsid w:val="0061035D"/>
    <w:rsid w:val="00610A09"/>
    <w:rsid w:val="00611409"/>
    <w:rsid w:val="00614C81"/>
    <w:rsid w:val="00623D1A"/>
    <w:rsid w:val="0062613B"/>
    <w:rsid w:val="00654EFC"/>
    <w:rsid w:val="00687686"/>
    <w:rsid w:val="006A6DCC"/>
    <w:rsid w:val="006B0569"/>
    <w:rsid w:val="006B099A"/>
    <w:rsid w:val="006B5242"/>
    <w:rsid w:val="006C1100"/>
    <w:rsid w:val="006E431C"/>
    <w:rsid w:val="006F2B82"/>
    <w:rsid w:val="00703870"/>
    <w:rsid w:val="00704E1B"/>
    <w:rsid w:val="00713812"/>
    <w:rsid w:val="00745028"/>
    <w:rsid w:val="0075473A"/>
    <w:rsid w:val="00757134"/>
    <w:rsid w:val="0076594D"/>
    <w:rsid w:val="0076668E"/>
    <w:rsid w:val="00774338"/>
    <w:rsid w:val="007758D9"/>
    <w:rsid w:val="0079086A"/>
    <w:rsid w:val="007952D6"/>
    <w:rsid w:val="007A1A35"/>
    <w:rsid w:val="007B3273"/>
    <w:rsid w:val="007C7D7E"/>
    <w:rsid w:val="007E29EE"/>
    <w:rsid w:val="007E4EAC"/>
    <w:rsid w:val="007F3E10"/>
    <w:rsid w:val="007F7342"/>
    <w:rsid w:val="008265FB"/>
    <w:rsid w:val="0085406D"/>
    <w:rsid w:val="00880F2B"/>
    <w:rsid w:val="008A7FB9"/>
    <w:rsid w:val="008C000A"/>
    <w:rsid w:val="008E0B6A"/>
    <w:rsid w:val="008E2BA3"/>
    <w:rsid w:val="00901E41"/>
    <w:rsid w:val="00904F34"/>
    <w:rsid w:val="0090630E"/>
    <w:rsid w:val="009076DF"/>
    <w:rsid w:val="00915BC2"/>
    <w:rsid w:val="00925421"/>
    <w:rsid w:val="00926751"/>
    <w:rsid w:val="00931FF3"/>
    <w:rsid w:val="0094023E"/>
    <w:rsid w:val="009407B6"/>
    <w:rsid w:val="00940D10"/>
    <w:rsid w:val="00941884"/>
    <w:rsid w:val="009445A0"/>
    <w:rsid w:val="00944813"/>
    <w:rsid w:val="00945A45"/>
    <w:rsid w:val="00957700"/>
    <w:rsid w:val="009602C3"/>
    <w:rsid w:val="0096608F"/>
    <w:rsid w:val="0097688B"/>
    <w:rsid w:val="009778F8"/>
    <w:rsid w:val="00991A24"/>
    <w:rsid w:val="00995F73"/>
    <w:rsid w:val="009B099A"/>
    <w:rsid w:val="009C6EC4"/>
    <w:rsid w:val="009E7446"/>
    <w:rsid w:val="009F35A0"/>
    <w:rsid w:val="00A15FB7"/>
    <w:rsid w:val="00A27D9F"/>
    <w:rsid w:val="00A34FB4"/>
    <w:rsid w:val="00A370D5"/>
    <w:rsid w:val="00A6496B"/>
    <w:rsid w:val="00A72DBA"/>
    <w:rsid w:val="00A846C1"/>
    <w:rsid w:val="00A8490A"/>
    <w:rsid w:val="00A96CB0"/>
    <w:rsid w:val="00AA105A"/>
    <w:rsid w:val="00AC4864"/>
    <w:rsid w:val="00AE49B2"/>
    <w:rsid w:val="00AE4D4D"/>
    <w:rsid w:val="00AE5CD9"/>
    <w:rsid w:val="00AF378D"/>
    <w:rsid w:val="00B01E5F"/>
    <w:rsid w:val="00B045FD"/>
    <w:rsid w:val="00B12568"/>
    <w:rsid w:val="00B15984"/>
    <w:rsid w:val="00B159B4"/>
    <w:rsid w:val="00B173D2"/>
    <w:rsid w:val="00B34C0E"/>
    <w:rsid w:val="00B457FB"/>
    <w:rsid w:val="00B518AF"/>
    <w:rsid w:val="00B54AAB"/>
    <w:rsid w:val="00BA3E30"/>
    <w:rsid w:val="00BB40E8"/>
    <w:rsid w:val="00BB4949"/>
    <w:rsid w:val="00BD3FFB"/>
    <w:rsid w:val="00BD4AA8"/>
    <w:rsid w:val="00BE795D"/>
    <w:rsid w:val="00BF4114"/>
    <w:rsid w:val="00C0439F"/>
    <w:rsid w:val="00C05E46"/>
    <w:rsid w:val="00C07FC9"/>
    <w:rsid w:val="00C156C1"/>
    <w:rsid w:val="00C423E1"/>
    <w:rsid w:val="00C4794F"/>
    <w:rsid w:val="00C5604B"/>
    <w:rsid w:val="00C60237"/>
    <w:rsid w:val="00C61DEE"/>
    <w:rsid w:val="00C67B0F"/>
    <w:rsid w:val="00C732B5"/>
    <w:rsid w:val="00C75B08"/>
    <w:rsid w:val="00C82E89"/>
    <w:rsid w:val="00CA4CE1"/>
    <w:rsid w:val="00CC20D8"/>
    <w:rsid w:val="00CF03B9"/>
    <w:rsid w:val="00D135D6"/>
    <w:rsid w:val="00D26B6E"/>
    <w:rsid w:val="00D3153C"/>
    <w:rsid w:val="00D32657"/>
    <w:rsid w:val="00D350A4"/>
    <w:rsid w:val="00D4410F"/>
    <w:rsid w:val="00D46067"/>
    <w:rsid w:val="00D57FD7"/>
    <w:rsid w:val="00D73DA3"/>
    <w:rsid w:val="00D8169E"/>
    <w:rsid w:val="00DB7A20"/>
    <w:rsid w:val="00DC3EEC"/>
    <w:rsid w:val="00DE576A"/>
    <w:rsid w:val="00E15A41"/>
    <w:rsid w:val="00E15DCA"/>
    <w:rsid w:val="00E1609E"/>
    <w:rsid w:val="00E215AE"/>
    <w:rsid w:val="00E30DC7"/>
    <w:rsid w:val="00E319CA"/>
    <w:rsid w:val="00E43B63"/>
    <w:rsid w:val="00E610D7"/>
    <w:rsid w:val="00E728EC"/>
    <w:rsid w:val="00E8113D"/>
    <w:rsid w:val="00E831A3"/>
    <w:rsid w:val="00E848DB"/>
    <w:rsid w:val="00E90340"/>
    <w:rsid w:val="00EB1572"/>
    <w:rsid w:val="00ED0D6E"/>
    <w:rsid w:val="00EE46CD"/>
    <w:rsid w:val="00F32176"/>
    <w:rsid w:val="00F42DF8"/>
    <w:rsid w:val="00F47DA8"/>
    <w:rsid w:val="00F61135"/>
    <w:rsid w:val="00F6499F"/>
    <w:rsid w:val="00FA113F"/>
    <w:rsid w:val="00FA29F4"/>
    <w:rsid w:val="00FA65BF"/>
    <w:rsid w:val="00FA6AF0"/>
    <w:rsid w:val="00FD1458"/>
    <w:rsid w:val="00FF1C3C"/>
    <w:rsid w:val="00FF23B8"/>
    <w:rsid w:val="00FF70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BD4E0"/>
  <w15:chartTrackingRefBased/>
  <w15:docId w15:val="{603F5327-37CB-454B-9383-2E11043A2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rsid w:val="00C423E1"/>
    <w:pPr>
      <w:keepNext/>
      <w:keepLines/>
      <w:spacing w:before="240" w:after="0"/>
      <w:outlineLvl w:val="0"/>
    </w:pPr>
    <w:rPr>
      <w:rFonts w:asciiTheme="majorHAnsi" w:eastAsiaTheme="majorEastAsia" w:hAnsiTheme="majorHAnsi" w:cstheme="majorBidi"/>
      <w:b/>
      <w:color w:val="17428C" w:themeColor="accent1"/>
      <w:sz w:val="32"/>
      <w:szCs w:val="32"/>
    </w:rPr>
  </w:style>
  <w:style w:type="paragraph" w:styleId="Heading2">
    <w:name w:val="heading 2"/>
    <w:aliases w:val="Body text"/>
    <w:basedOn w:val="Normal"/>
    <w:next w:val="Normal"/>
    <w:link w:val="Heading2Char"/>
    <w:uiPriority w:val="9"/>
    <w:unhideWhenUsed/>
    <w:qFormat/>
    <w:rsid w:val="005A3D76"/>
    <w:pPr>
      <w:keepNext/>
      <w:keepLines/>
      <w:spacing w:after="0" w:line="280" w:lineRule="exact"/>
      <w:jc w:val="both"/>
      <w:outlineLvl w:val="1"/>
    </w:pPr>
    <w:rPr>
      <w:rFonts w:asciiTheme="majorHAnsi" w:eastAsiaTheme="majorEastAsia" w:hAnsiTheme="majorHAnsi" w:cstheme="majorBidi"/>
      <w:color w:val="17428C" w:themeColor="accent1"/>
      <w:szCs w:val="26"/>
    </w:rPr>
  </w:style>
  <w:style w:type="paragraph" w:styleId="Heading3">
    <w:name w:val="heading 3"/>
    <w:basedOn w:val="Normal"/>
    <w:next w:val="Normal"/>
    <w:link w:val="Heading3Char"/>
    <w:uiPriority w:val="9"/>
    <w:unhideWhenUsed/>
    <w:rsid w:val="000D2398"/>
    <w:pPr>
      <w:keepNext/>
      <w:keepLines/>
      <w:spacing w:before="40" w:after="0"/>
      <w:outlineLvl w:val="2"/>
    </w:pPr>
    <w:rPr>
      <w:rFonts w:asciiTheme="majorHAnsi" w:eastAsiaTheme="majorEastAsia" w:hAnsiTheme="majorHAnsi" w:cstheme="majorBidi"/>
      <w:color w:val="0B2045" w:themeColor="accent1" w:themeShade="7F"/>
      <w:sz w:val="24"/>
      <w:szCs w:val="24"/>
    </w:rPr>
  </w:style>
  <w:style w:type="paragraph" w:styleId="Heading4">
    <w:name w:val="heading 4"/>
    <w:basedOn w:val="Normal"/>
    <w:next w:val="Normal"/>
    <w:link w:val="Heading4Char"/>
    <w:uiPriority w:val="9"/>
    <w:semiHidden/>
    <w:unhideWhenUsed/>
    <w:rsid w:val="009F35A0"/>
    <w:pPr>
      <w:keepNext/>
      <w:keepLines/>
      <w:spacing w:before="40" w:after="0"/>
      <w:outlineLvl w:val="3"/>
    </w:pPr>
    <w:rPr>
      <w:rFonts w:asciiTheme="majorHAnsi" w:eastAsiaTheme="majorEastAsia" w:hAnsiTheme="majorHAnsi" w:cstheme="majorBidi"/>
      <w:i/>
      <w:iCs/>
      <w:color w:val="113168"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3E1"/>
    <w:rPr>
      <w:rFonts w:asciiTheme="majorHAnsi" w:eastAsiaTheme="majorEastAsia" w:hAnsiTheme="majorHAnsi" w:cstheme="majorBidi"/>
      <w:b/>
      <w:color w:val="17428C" w:themeColor="accent1"/>
      <w:sz w:val="32"/>
      <w:szCs w:val="32"/>
    </w:rPr>
  </w:style>
  <w:style w:type="character" w:customStyle="1" w:styleId="Heading2Char">
    <w:name w:val="Heading 2 Char"/>
    <w:aliases w:val="Body text Char"/>
    <w:basedOn w:val="DefaultParagraphFont"/>
    <w:link w:val="Heading2"/>
    <w:uiPriority w:val="9"/>
    <w:rsid w:val="005A3D76"/>
    <w:rPr>
      <w:rFonts w:asciiTheme="majorHAnsi" w:eastAsiaTheme="majorEastAsia" w:hAnsiTheme="majorHAnsi" w:cstheme="majorBidi"/>
      <w:color w:val="17428C" w:themeColor="accent1"/>
      <w:szCs w:val="26"/>
    </w:rPr>
  </w:style>
  <w:style w:type="paragraph" w:styleId="Header">
    <w:name w:val="header"/>
    <w:basedOn w:val="Normal"/>
    <w:link w:val="HeaderChar"/>
    <w:uiPriority w:val="99"/>
    <w:unhideWhenUsed/>
    <w:rsid w:val="000D23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398"/>
  </w:style>
  <w:style w:type="paragraph" w:styleId="Footer">
    <w:name w:val="footer"/>
    <w:basedOn w:val="Normal"/>
    <w:link w:val="FooterChar"/>
    <w:uiPriority w:val="99"/>
    <w:unhideWhenUsed/>
    <w:rsid w:val="000D23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398"/>
  </w:style>
  <w:style w:type="character" w:customStyle="1" w:styleId="Heading3Char">
    <w:name w:val="Heading 3 Char"/>
    <w:basedOn w:val="DefaultParagraphFont"/>
    <w:link w:val="Heading3"/>
    <w:uiPriority w:val="9"/>
    <w:rsid w:val="000D2398"/>
    <w:rPr>
      <w:rFonts w:asciiTheme="majorHAnsi" w:eastAsiaTheme="majorEastAsia" w:hAnsiTheme="majorHAnsi" w:cstheme="majorBidi"/>
      <w:color w:val="0B2045" w:themeColor="accent1" w:themeShade="7F"/>
      <w:sz w:val="24"/>
      <w:szCs w:val="24"/>
    </w:rPr>
  </w:style>
  <w:style w:type="paragraph" w:customStyle="1" w:styleId="BasicParagraph">
    <w:name w:val="[Basic Paragraph]"/>
    <w:basedOn w:val="Normal"/>
    <w:uiPriority w:val="99"/>
    <w:rsid w:val="00BB40E8"/>
    <w:pPr>
      <w:autoSpaceDE w:val="0"/>
      <w:autoSpaceDN w:val="0"/>
      <w:adjustRightInd w:val="0"/>
      <w:spacing w:after="0" w:line="288" w:lineRule="auto"/>
      <w:textAlignment w:val="center"/>
    </w:pPr>
    <w:rPr>
      <w:rFonts w:ascii="Minion Pro" w:hAnsi="Minion Pro" w:cs="Minion Pro"/>
      <w:color w:val="000000"/>
      <w:sz w:val="24"/>
      <w:szCs w:val="24"/>
      <w:lang w:val="fr-FR"/>
    </w:rPr>
  </w:style>
  <w:style w:type="character" w:styleId="LineNumber">
    <w:name w:val="line number"/>
    <w:basedOn w:val="DefaultParagraphFont"/>
    <w:uiPriority w:val="99"/>
    <w:semiHidden/>
    <w:unhideWhenUsed/>
    <w:rsid w:val="00E319CA"/>
  </w:style>
  <w:style w:type="character" w:styleId="Hyperlink">
    <w:name w:val="Hyperlink"/>
    <w:basedOn w:val="DefaultParagraphFont"/>
    <w:uiPriority w:val="99"/>
    <w:unhideWhenUsed/>
    <w:rsid w:val="00941884"/>
    <w:rPr>
      <w:color w:val="CE142E" w:themeColor="hyperlink"/>
      <w:u w:val="single"/>
    </w:rPr>
  </w:style>
  <w:style w:type="character" w:styleId="UnresolvedMention">
    <w:name w:val="Unresolved Mention"/>
    <w:basedOn w:val="DefaultParagraphFont"/>
    <w:uiPriority w:val="99"/>
    <w:semiHidden/>
    <w:unhideWhenUsed/>
    <w:rsid w:val="00941884"/>
    <w:rPr>
      <w:color w:val="605E5C"/>
      <w:shd w:val="clear" w:color="auto" w:fill="E1DFDD"/>
    </w:rPr>
  </w:style>
  <w:style w:type="paragraph" w:styleId="ListParagraph">
    <w:name w:val="List Paragraph"/>
    <w:basedOn w:val="Normal"/>
    <w:uiPriority w:val="34"/>
    <w:qFormat/>
    <w:rsid w:val="007E29EE"/>
    <w:pPr>
      <w:spacing w:after="0" w:line="240" w:lineRule="auto"/>
      <w:ind w:left="720"/>
      <w:contextualSpacing/>
    </w:pPr>
    <w:rPr>
      <w:kern w:val="2"/>
      <w:sz w:val="24"/>
      <w:szCs w:val="24"/>
      <w:lang w:val="fr-FR"/>
      <w14:ligatures w14:val="standardContextual"/>
    </w:rPr>
  </w:style>
  <w:style w:type="paragraph" w:styleId="FootnoteText">
    <w:name w:val="footnote text"/>
    <w:basedOn w:val="Normal"/>
    <w:link w:val="FootnoteTextChar"/>
    <w:uiPriority w:val="99"/>
    <w:semiHidden/>
    <w:unhideWhenUsed/>
    <w:rsid w:val="007E29EE"/>
    <w:pPr>
      <w:spacing w:after="0" w:line="240" w:lineRule="auto"/>
    </w:pPr>
    <w:rPr>
      <w:kern w:val="2"/>
      <w:sz w:val="20"/>
      <w:szCs w:val="20"/>
      <w:lang w:val="fr-FR"/>
      <w14:ligatures w14:val="standardContextual"/>
    </w:rPr>
  </w:style>
  <w:style w:type="character" w:customStyle="1" w:styleId="FootnoteTextChar">
    <w:name w:val="Footnote Text Char"/>
    <w:basedOn w:val="DefaultParagraphFont"/>
    <w:link w:val="FootnoteText"/>
    <w:uiPriority w:val="99"/>
    <w:semiHidden/>
    <w:rsid w:val="007E29EE"/>
    <w:rPr>
      <w:kern w:val="2"/>
      <w:sz w:val="20"/>
      <w:szCs w:val="20"/>
      <w:lang w:val="fr-FR"/>
      <w14:ligatures w14:val="standardContextual"/>
    </w:rPr>
  </w:style>
  <w:style w:type="character" w:styleId="FootnoteReference">
    <w:name w:val="footnote reference"/>
    <w:basedOn w:val="DefaultParagraphFont"/>
    <w:uiPriority w:val="99"/>
    <w:semiHidden/>
    <w:unhideWhenUsed/>
    <w:rsid w:val="007E29EE"/>
    <w:rPr>
      <w:vertAlign w:val="superscript"/>
    </w:rPr>
  </w:style>
  <w:style w:type="character" w:styleId="CommentReference">
    <w:name w:val="annotation reference"/>
    <w:basedOn w:val="DefaultParagraphFont"/>
    <w:uiPriority w:val="99"/>
    <w:semiHidden/>
    <w:unhideWhenUsed/>
    <w:rsid w:val="007E29EE"/>
    <w:rPr>
      <w:sz w:val="16"/>
      <w:szCs w:val="16"/>
    </w:rPr>
  </w:style>
  <w:style w:type="paragraph" w:styleId="CommentText">
    <w:name w:val="annotation text"/>
    <w:basedOn w:val="Normal"/>
    <w:link w:val="CommentTextChar"/>
    <w:uiPriority w:val="99"/>
    <w:unhideWhenUsed/>
    <w:rsid w:val="007E29EE"/>
    <w:pPr>
      <w:spacing w:line="240" w:lineRule="auto"/>
    </w:pPr>
    <w:rPr>
      <w:sz w:val="20"/>
      <w:szCs w:val="20"/>
    </w:rPr>
  </w:style>
  <w:style w:type="character" w:customStyle="1" w:styleId="CommentTextChar">
    <w:name w:val="Comment Text Char"/>
    <w:basedOn w:val="DefaultParagraphFont"/>
    <w:link w:val="CommentText"/>
    <w:uiPriority w:val="99"/>
    <w:rsid w:val="007E29EE"/>
    <w:rPr>
      <w:sz w:val="20"/>
      <w:szCs w:val="20"/>
    </w:rPr>
  </w:style>
  <w:style w:type="paragraph" w:styleId="CommentSubject">
    <w:name w:val="annotation subject"/>
    <w:basedOn w:val="CommentText"/>
    <w:next w:val="CommentText"/>
    <w:link w:val="CommentSubjectChar"/>
    <w:uiPriority w:val="99"/>
    <w:semiHidden/>
    <w:unhideWhenUsed/>
    <w:rsid w:val="007E29EE"/>
    <w:rPr>
      <w:b/>
      <w:bCs/>
    </w:rPr>
  </w:style>
  <w:style w:type="character" w:customStyle="1" w:styleId="CommentSubjectChar">
    <w:name w:val="Comment Subject Char"/>
    <w:basedOn w:val="CommentTextChar"/>
    <w:link w:val="CommentSubject"/>
    <w:uiPriority w:val="99"/>
    <w:semiHidden/>
    <w:rsid w:val="007E29EE"/>
    <w:rPr>
      <w:b/>
      <w:bCs/>
      <w:sz w:val="20"/>
      <w:szCs w:val="20"/>
    </w:rPr>
  </w:style>
  <w:style w:type="paragraph" w:styleId="Revision">
    <w:name w:val="Revision"/>
    <w:hidden/>
    <w:uiPriority w:val="99"/>
    <w:semiHidden/>
    <w:rsid w:val="00372E4D"/>
    <w:pPr>
      <w:spacing w:after="0" w:line="240" w:lineRule="auto"/>
    </w:pPr>
  </w:style>
  <w:style w:type="character" w:styleId="FollowedHyperlink">
    <w:name w:val="FollowedHyperlink"/>
    <w:basedOn w:val="DefaultParagraphFont"/>
    <w:uiPriority w:val="99"/>
    <w:semiHidden/>
    <w:unhideWhenUsed/>
    <w:rsid w:val="00C67B0F"/>
    <w:rPr>
      <w:color w:val="E5531A" w:themeColor="followedHyperlink"/>
      <w:u w:val="single"/>
    </w:rPr>
  </w:style>
  <w:style w:type="paragraph" w:styleId="NormalWeb">
    <w:name w:val="Normal (Web)"/>
    <w:basedOn w:val="Normal"/>
    <w:uiPriority w:val="99"/>
    <w:semiHidden/>
    <w:unhideWhenUsed/>
    <w:rsid w:val="00BD3FFB"/>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9F35A0"/>
    <w:rPr>
      <w:rFonts w:asciiTheme="majorHAnsi" w:eastAsiaTheme="majorEastAsia" w:hAnsiTheme="majorHAnsi" w:cstheme="majorBidi"/>
      <w:i/>
      <w:iCs/>
      <w:color w:val="113168"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90388">
      <w:bodyDiv w:val="1"/>
      <w:marLeft w:val="0"/>
      <w:marRight w:val="0"/>
      <w:marTop w:val="0"/>
      <w:marBottom w:val="0"/>
      <w:divBdr>
        <w:top w:val="none" w:sz="0" w:space="0" w:color="auto"/>
        <w:left w:val="none" w:sz="0" w:space="0" w:color="auto"/>
        <w:bottom w:val="none" w:sz="0" w:space="0" w:color="auto"/>
        <w:right w:val="none" w:sz="0" w:space="0" w:color="auto"/>
      </w:divBdr>
    </w:div>
    <w:div w:id="952903230">
      <w:bodyDiv w:val="1"/>
      <w:marLeft w:val="0"/>
      <w:marRight w:val="0"/>
      <w:marTop w:val="0"/>
      <w:marBottom w:val="0"/>
      <w:divBdr>
        <w:top w:val="none" w:sz="0" w:space="0" w:color="auto"/>
        <w:left w:val="none" w:sz="0" w:space="0" w:color="auto"/>
        <w:bottom w:val="none" w:sz="0" w:space="0" w:color="auto"/>
        <w:right w:val="none" w:sz="0" w:space="0" w:color="auto"/>
      </w:divBdr>
    </w:div>
    <w:div w:id="1575818474">
      <w:bodyDiv w:val="1"/>
      <w:marLeft w:val="0"/>
      <w:marRight w:val="0"/>
      <w:marTop w:val="0"/>
      <w:marBottom w:val="0"/>
      <w:divBdr>
        <w:top w:val="none" w:sz="0" w:space="0" w:color="auto"/>
        <w:left w:val="none" w:sz="0" w:space="0" w:color="auto"/>
        <w:bottom w:val="none" w:sz="0" w:space="0" w:color="auto"/>
        <w:right w:val="none" w:sz="0" w:space="0" w:color="auto"/>
      </w:divBdr>
    </w:div>
    <w:div w:id="1661350336">
      <w:bodyDiv w:val="1"/>
      <w:marLeft w:val="0"/>
      <w:marRight w:val="0"/>
      <w:marTop w:val="0"/>
      <w:marBottom w:val="0"/>
      <w:divBdr>
        <w:top w:val="none" w:sz="0" w:space="0" w:color="auto"/>
        <w:left w:val="none" w:sz="0" w:space="0" w:color="auto"/>
        <w:bottom w:val="none" w:sz="0" w:space="0" w:color="auto"/>
        <w:right w:val="none" w:sz="0" w:space="0" w:color="auto"/>
      </w:divBdr>
    </w:div>
    <w:div w:id="209311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aint-gobain.co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SGB to Word">
      <a:dk1>
        <a:sysClr val="windowText" lastClr="000000"/>
      </a:dk1>
      <a:lt1>
        <a:sysClr val="window" lastClr="FFFFFF"/>
      </a:lt1>
      <a:dk2>
        <a:srgbClr val="3F3F3F"/>
      </a:dk2>
      <a:lt2>
        <a:srgbClr val="FFFFFF"/>
      </a:lt2>
      <a:accent1>
        <a:srgbClr val="17428C"/>
      </a:accent1>
      <a:accent2>
        <a:srgbClr val="CE142E"/>
      </a:accent2>
      <a:accent3>
        <a:srgbClr val="E5531A"/>
      </a:accent3>
      <a:accent4>
        <a:srgbClr val="67B9B0"/>
      </a:accent4>
      <a:accent5>
        <a:srgbClr val="219CDC"/>
      </a:accent5>
      <a:accent6>
        <a:srgbClr val="17428C"/>
      </a:accent6>
      <a:hlink>
        <a:srgbClr val="CE142E"/>
      </a:hlink>
      <a:folHlink>
        <a:srgbClr val="E5531A"/>
      </a:folHlink>
    </a:clrScheme>
    <a:fontScheme name="SGB to word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75f468b-f1da-4738-a6b5-43bf125c1913">
      <Terms xmlns="http://schemas.microsoft.com/office/infopath/2007/PartnerControls"/>
    </lcf76f155ced4ddcb4097134ff3c332f>
    <TaxCatchAll xmlns="8d66ed40-2db7-4aaf-bd8b-1fea5edba15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1E7474DD0A294DA971B31E882C6EA8" ma:contentTypeVersion="15" ma:contentTypeDescription="Crée un document." ma:contentTypeScope="" ma:versionID="dbef3f394b4a95e7ced21cb2a3d34c81">
  <xsd:schema xmlns:xsd="http://www.w3.org/2001/XMLSchema" xmlns:xs="http://www.w3.org/2001/XMLSchema" xmlns:p="http://schemas.microsoft.com/office/2006/metadata/properties" xmlns:ns2="075f468b-f1da-4738-a6b5-43bf125c1913" xmlns:ns3="8d66ed40-2db7-4aaf-bd8b-1fea5edba156" targetNamespace="http://schemas.microsoft.com/office/2006/metadata/properties" ma:root="true" ma:fieldsID="78af55bd2f501dbe148de013e17cf7c3" ns2:_="" ns3:_="">
    <xsd:import namespace="075f468b-f1da-4738-a6b5-43bf125c1913"/>
    <xsd:import namespace="8d66ed40-2db7-4aaf-bd8b-1fea5edba15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f468b-f1da-4738-a6b5-43bf125c191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Balises d’images" ma:readOnly="false" ma:fieldId="{5cf76f15-5ced-4ddc-b409-7134ff3c332f}" ma:taxonomyMulti="true" ma:sspId="8a8e937e-a000-4b8d-b995-2f10e0fc072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66ed40-2db7-4aaf-bd8b-1fea5edba15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5c3953d-6a40-4460-a49c-fd52aa816e11}" ma:internalName="TaxCatchAll" ma:showField="CatchAllData" ma:web="8d66ed40-2db7-4aaf-bd8b-1fea5edba15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0CBFE5-15A6-4465-B7BD-C5FC4261DBB0}">
  <ds:schemaRefs>
    <ds:schemaRef ds:uri="http://schemas.openxmlformats.org/officeDocument/2006/bibliography"/>
  </ds:schemaRefs>
</ds:datastoreItem>
</file>

<file path=customXml/itemProps2.xml><?xml version="1.0" encoding="utf-8"?>
<ds:datastoreItem xmlns:ds="http://schemas.openxmlformats.org/officeDocument/2006/customXml" ds:itemID="{5D5EBA7D-B994-4A34-B0E9-404D5C23043D}">
  <ds:schemaRefs>
    <ds:schemaRef ds:uri="http://schemas.microsoft.com/sharepoint/v3/contenttype/forms"/>
  </ds:schemaRefs>
</ds:datastoreItem>
</file>

<file path=customXml/itemProps3.xml><?xml version="1.0" encoding="utf-8"?>
<ds:datastoreItem xmlns:ds="http://schemas.openxmlformats.org/officeDocument/2006/customXml" ds:itemID="{7FB16D36-BD2E-4692-AC1E-7935105B65B6}">
  <ds:schemaRefs>
    <ds:schemaRef ds:uri="http://schemas.microsoft.com/office/2006/metadata/properties"/>
    <ds:schemaRef ds:uri="http://schemas.microsoft.com/office/infopath/2007/PartnerControls"/>
    <ds:schemaRef ds:uri="075f468b-f1da-4738-a6b5-43bf125c1913"/>
    <ds:schemaRef ds:uri="8d66ed40-2db7-4aaf-bd8b-1fea5edba156"/>
  </ds:schemaRefs>
</ds:datastoreItem>
</file>

<file path=customXml/itemProps4.xml><?xml version="1.0" encoding="utf-8"?>
<ds:datastoreItem xmlns:ds="http://schemas.openxmlformats.org/officeDocument/2006/customXml" ds:itemID="{2CC74A2A-CE8F-4B7B-A8B5-C2DC0E789B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f468b-f1da-4738-a6b5-43bf125c1913"/>
    <ds:schemaRef ds:uri="8d66ed40-2db7-4aaf-bd8b-1fea5edba1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ed06422-c515-4a4e-a1f2-e6a0c0200eae}" enabled="1" method="Standard" siteId="{e339bd4b-2e3b-4035-a452-2112d502f2ff}" removed="0"/>
</clbl:labelList>
</file>

<file path=docProps/app.xml><?xml version="1.0" encoding="utf-8"?>
<Properties xmlns="http://schemas.openxmlformats.org/officeDocument/2006/extended-properties" xmlns:vt="http://schemas.openxmlformats.org/officeDocument/2006/docPropsVTypes">
  <Template>Normal</Template>
  <TotalTime>95</TotalTime>
  <Pages>2</Pages>
  <Words>782</Words>
  <Characters>4462</Characters>
  <Application>Microsoft Office Word</Application>
  <DocSecurity>0</DocSecurity>
  <Lines>37</Lines>
  <Paragraphs>10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Pokeslide</dc:creator>
  <cp:keywords/>
  <dc:description/>
  <cp:lastModifiedBy>iletisim</cp:lastModifiedBy>
  <cp:revision>36</cp:revision>
  <cp:lastPrinted>2025-01-15T15:29:00Z</cp:lastPrinted>
  <dcterms:created xsi:type="dcterms:W3CDTF">2026-01-09T15:58:00Z</dcterms:created>
  <dcterms:modified xsi:type="dcterms:W3CDTF">2026-01-20T14:33:00Z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d06422-c515-4a4e-a1f2-e6a0c0200eae_Enabled">
    <vt:lpwstr>true</vt:lpwstr>
  </property>
  <property fmtid="{D5CDD505-2E9C-101B-9397-08002B2CF9AE}" pid="3" name="MSIP_Label_ced06422-c515-4a4e-a1f2-e6a0c0200eae_SetDate">
    <vt:lpwstr>2023-08-03T12:57:45Z</vt:lpwstr>
  </property>
  <property fmtid="{D5CDD505-2E9C-101B-9397-08002B2CF9AE}" pid="4" name="MSIP_Label_ced06422-c515-4a4e-a1f2-e6a0c0200eae_Method">
    <vt:lpwstr>Standard</vt:lpwstr>
  </property>
  <property fmtid="{D5CDD505-2E9C-101B-9397-08002B2CF9AE}" pid="5" name="MSIP_Label_ced06422-c515-4a4e-a1f2-e6a0c0200eae_Name">
    <vt:lpwstr>Unclassifed</vt:lpwstr>
  </property>
  <property fmtid="{D5CDD505-2E9C-101B-9397-08002B2CF9AE}" pid="6" name="MSIP_Label_ced06422-c515-4a4e-a1f2-e6a0c0200eae_SiteId">
    <vt:lpwstr>e339bd4b-2e3b-4035-a452-2112d502f2ff</vt:lpwstr>
  </property>
  <property fmtid="{D5CDD505-2E9C-101B-9397-08002B2CF9AE}" pid="7" name="MSIP_Label_ced06422-c515-4a4e-a1f2-e6a0c0200eae_ActionId">
    <vt:lpwstr>be77eb8b-03ff-4a18-b0b2-217459ffcf7c</vt:lpwstr>
  </property>
  <property fmtid="{D5CDD505-2E9C-101B-9397-08002B2CF9AE}" pid="8" name="MSIP_Label_ced06422-c515-4a4e-a1f2-e6a0c0200eae_ContentBits">
    <vt:lpwstr>0</vt:lpwstr>
  </property>
  <property fmtid="{D5CDD505-2E9C-101B-9397-08002B2CF9AE}" pid="9" name="ContentTypeId">
    <vt:lpwstr>0x010100601E7474DD0A294DA971B31E882C6EA8</vt:lpwstr>
  </property>
</Properties>
</file>